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435</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2022. gada 14. jūlijā (prot. Nr. 36 42.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Eiropas Savienības Atveseļošanas un noturības mehānisma plāna 2. komponentes ''Digitālā transformācija'' 2.1. reformu un investīciju virziena ''Valsts pārvaldes, tai skaitā pašvaldību, digitālā transformācija'' īstenošanas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Likuma par budžetu un finanšu vadību 19.</w:t>
      </w:r>
      <w:r w:rsidR="00000000" w:rsidRPr="00000000" w:rsidDel="00000000">
        <w:rPr>
          <w:rStyle w:val="paragraph"/>
          <w:i w:val="1"/>
          <w:vertAlign w:val="superscript"/>
          <w:rtl w:val="0"/>
        </w:rPr>
        <w:t xml:space="preserve">3</w:t>
      </w:r>
      <w:r w:rsidR="00000000" w:rsidRPr="00000000" w:rsidDel="00000000">
        <w:rPr>
          <w:rStyle w:val="paragraph"/>
          <w:i w:val="1"/>
          <w:rtl w:val="0"/>
        </w:rPr>
        <w:t xml:space="preserve"> panta otro daļu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w:t>
      </w:r>
      <w:r w:rsidR="00000000" w:rsidRPr="00000000" w:rsidDel="00000000">
        <w:rPr>
          <w:rtl w:val="0"/>
        </w:rPr>
        <w:t xml:space="preserve"> </w:t>
      </w:r>
      <w:r w:rsidR="00000000" w:rsidRPr="00000000" w:rsidDel="00000000">
        <w:rPr>
          <w:rStyle w:val="paragraph_heade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kārtību, kādā īsteno un uzrauga Eiropas Savienības Atveseļošanas un noturības mehānisma (turpmāk – Atveseļošanas fonds) plāna 2. komponentes ''Digitālā transformācija'' 2.1. reformu un investīciju virzienu ''Valsts pārvaldes, t. sk. pašvaldību, digitālā transformācija'' (turpmāk – reformu un investīciju virziens), tai skaitā: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reformu un investīciju virziena mērķus un mērķa grupu;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reformu un investīciju virzienam pieejamo finansējumu;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reformu un investīciju virziena īstenošanā iesaistīto institūciju kompetenci;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reformu un investīciju virziena ietvaros īstenojamo projektu (turpmāk – projekts) uzsākšanas, līguma vai vienošanās par projekta īstenošanu (turpmāk – projekta īstenošanas līgums) vienpusēja uzteikuma nosacījumus.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Reformu un investīciju virziens ietver reformu 2.1.1.r. ''Valsts procesu un pakalpojumu modernizācija un digitālā transformācija'' (turpmāk – reforma 2.1.1.r.) un investīciju 2.1.1.1.i. ''Pārvaldes modernizācija un pakalpojumu digitālā transformācija, tai skaitā uzņēmējdarbības vide'' (turpmāk – investīcija 2.1.1.1.i.), nosakot, 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reformas 2.1.1.r. mērķis ir:</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modernizēt publisko pārvaldi un tās pakalpojumus, izmantojot digitālo transformāciju un koncentrējoties uz svarīgām publiskās pārvaldes funkcijām, procesiem un pakalpojumiem, kas vēl nav digitalizēti, tiek no jauna izstrādāti vai būtiski nostiprināti;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īstenot modernizācijas pasākumus, kas ir saistīti ar būtisku publiskās pārvaldes datu kopu apstrādi, nodrošinot datu pārvaldības reformas īstenošanu;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izveidot kopīgu informācijas un komunikācijas tehnoloģiju konceptuālo arhitektūru publiskās pārvaldes pakalpojumiem un to vadības atbalstam, definējot pakalpojumu kvalitātes un kvantitatīvos rādītājus;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investīcijas 2.1.1.1.i. mērķis ir pārveidot publiskās pārvaldes pakalpojumus un to sniegšanas procesus, lai efektīvi īstenotu ekonomikas digitālo transformāciju, izmantojot inovatīvas tehnoloģijas un pieejas, tai skaitā mākslīgā intelekta un mašīnmācīšanās risinājumus, kā arī ieviešot uz datiem balstītu prognozēšanas un lēmumu pieņemšanas pieeju pakalpojumu un procesu pārvaldībai un nodrošinot vienreizējas iesniegšanas principa pilnīgu īstenošanu;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reformu 2.1.1.r. īsteno līdz 2022. gada 30. jūnijam un tās ietvaros sasniedzamie atskaites punkti ir:</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2022. gada 31. martam – regulējuma izveide informācijas un komunikācijas tehnoloģiju izstrādes darbību vienotai pārvaldībai publiskajā pārvaldē;</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2022. gada 30. jūnijam – normatīvā regulējuma izveide atbalsta saņemšanai publiskās pārvaldes procesu un pakalpojumu digitālās transformācijas jomā;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investīciju 2.1.1.1.i. īsteno līdz 2026. gada 31. augustam un tās ietvaros sasniedzamie mērķi ir:</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2023. gada 30. septembrim – izstrādāto un saskaņoto informācijas un komunikācijas tehnoloģiju risinājumu izstrādes darbību apraksti – 11;</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2026. gada 31. augustam – informācijas un komunikācijas tehnoloģiju risinājumu nodrošināšana modernizētām publiskās pārvaldes funkcijām (tai skaitā sistēmām) – 11.</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Reformu un investīciju virziens ietver reformu 2.1.2.r. ''Valsts IKT resursu izmantošanas efektivitātes un sadarbspējas paaugstināšana'' (turpmāk – reforma 2.1.2.r.), investīciju 2.1.2.1.i. ''Pārvaldes centralizētās platformas un sistēmas'' (turpmāk – investīcija 2.1.2.1.i.) un investīciju 2.1.2.2.i. ''Latvijas nacionālais federētais mākonis'' (turpmāk – investīcija 2.1.2.2.i.), nosakot, 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reformas 2.1.2.r mērķis ir:</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pārveidot informācijas un komunikācijas tehnoloģiju nodrošināšanas pieeju publiskajā pārvaldē, centralizējot vienotu informācijas un komunikācijas tehnoloģiju koplietošanas pakalpojumu sniegšanu kompetences centros, kas atbalsta vairākas iestādes;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attīstīt publiskās pārvaldes centrālās sistēmas un platformas un datošanas infrastruktūras pakalpojumu konsolidāciju, nodrošinot piegādes procesu automatizāciju un efektivitāti un pārrobežu piekļuvi publiskās pārvaldes pakalpojumiem un publiskās pārvaldes datošanas un datu glabāšanas infrastruktūras pakalpojumu konsolidāciju;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investīcijas 2.1.2.1.i. mērķis ir:</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nodrošināt administrācijas kā vienas organizācijas darbību, kas ietver standartizētu atbalsta funkciju ieviešanu, piemēram, grāmatvedību, personāla administrāciju, resursu uzskaiti un pārvaldību;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izveidot vai būtiski funkcionāli papildināt četras sabiedrisko pakalpojumu sniegšanas platformas, piecas departamentu un atbalsta funkciju platformas un sešas platformas un sistēmas pašvaldībām;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investīcijas 2.1.2.2.i. (tās ietvaros īstenotie projekti ir stratēģiski svarīgi projekti) mērķis ir:</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nodrošināt koplietošanas skaitļošanas un datu pārvaldības infrastruktūru un pakalpojumus publiskajai pārvaldei, kā arī attīstīt informācijas un komunikācijas tehnoloģiju infrastruktūras kompetences centrus datu glabāšanai un skaitļošanai (Latvijas federētā mākoņa mezglpunkti);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izveidot Latvijas federēto mākoni, kas nodrošina publiskā sektora datu glabāšanas un skaitļošanas spēju konsolidāciju koordinētā projektā, sākotnēji ietverot četru kopīgo pakalpojumu sniedzēju integrāciju nacionālajā federētajā mākonī;</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integrēt trīs sabiedrisko pakalpojumu sniegšanas platformas un pakalpojumus un septiņas departamentu un atbalsta funkciju platformas nacionālajā federētajā mākonī;</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reformu 2.1.2.r. īsteno līdz 2022. gada 30. jūnijam un tās ietvaros sasniedzamais atskaites punkts ir tiesiskā regulējuma izveide atbalsta saņemšanai publiskās pārvaldes centrālo sistēmu un platformu attīstības un datošanas infrastruktūras pakalpojumu konsolidācijas jomā;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investīciju 2.1.2.1.i. īsteno līdz 2026. gada 31. augustam un tās ietvaros sasniedzamie mērķi ir:</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2023. gada 31. martam – koordinētu plānu apstiprināšana centralizētu funkciju vai pakalpojumu izveidei, pārveidei vai ieviešanai – 15;</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2023. gada 30. septembrim – saskaņotu aprakstu pieņemšana attiecībā uz centralizētu informācijas un komunikācijas tehnoloģiju risinājumu izstrādes darbībām – 15;</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līdz 2026. gada 31. augustam – izveidoto un ekspluatācijā esošo centralizēto informācijas un komunikācijas tehnoloģiju platformu un sistēmu skaits – 15;</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investīciju 2.1.2.2.i. īsteno līdz 2026. gada 31. augustam un tās ietvaros sasniedzamie mērķi ir:</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2024. gada 31. decembrim – kopīgo pakalpojumu sniedzēju skaits, kas integrēti nacionālajā federētajā mākonī – mākoņdatošanas risinājumos, – četri;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2026. gada 31. augustam – publiskās pārvaldes informācijas sistēmas pārveidotas modernā informācijas sistēmas arhitektūrā un mitinātas nacionālajā federētajā mākonī – 10.</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Reformu un investīciju virziens ietver reformu 2.1.3.r. ''Tautsaimniecības datu un digitālo pakalpojumu ekonomikas attīstība'' (turpmāk – reforma 2.1.3.r.) un investīciju 2.1.3.1.i. ''Datu pieejamība, koplietošana un analītika'' (turpmāk – investīcija 2.1.3.1.i.), nosakot, 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reformas 2.1.3.r. mērķis ir:</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nodrošināt publisko un privāto datu un pakalpojumu pieejamību un koplietošanu, liekot pamatus datu un platformu ekonomikas attīstībai un savietojamībai ar Eiropas datu telpām un nodrošinot datu kopīgošanu ar Eiropas Savienību;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attīstīt publiskā sektora spējas vākt un apstrādāt datus un noteikt atbilstošus pārvaldības principus, lai nodrošinātu vienas pieturas aģentūras pieeju datu apmaiņai starp nozarēm un Eiropas datu telpām;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investīcijas 2.1.3.1.i. mērķis ir:</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veicināt datu koplietošanu ar publisko sektoru un starp publisko un privāto sektoru, principa ''tikai vienreiz'' ieviešanu un datu koplietošanu valsts un Eiropas mērogā;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izveidot augstas pieejamības datu ielādes un atgūšanas risinājumu un datu objektu kopumu izglītības, uzņēmējdarbības, pilsonības un personu apliecinošu dokumentu nozarēs (līdz 2023. gadam) un sociālās apdrošināšanas un drošības jomā, zemes un nekustamā īpašuma jomā un nodokļu sektoros (līdz 2026. gadam);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reformu 2.1.3.r. īsteno līdz 2023. gada 31. decembrim un tās ietvaros sasniedzamie atskaites punkti ir:</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2022. gada 30. jūnijam – normatīvā regulējuma stāšanās spēkā attiecībā uz atbalsta saņemšanu tautsaimniecības datu pārvaldības pārveides jomā;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2023. gada 31. decembrim – datu aprites valsts platformas darbības tiesiskais regulējums;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investīciju 2.1.3.1.i. īsteno līdz 2026. gada 31. augustam un tās ietvaros sasniedzamais mērķis – nozares, par kurām attiecīgās datu kopas ir pieejamas valsts datu aprites platformā (datu agregācijas vidē) – sešas.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Reformu un investīciju virziena investīciju kopēji sasniedzamie mērķi, to apraksti, minimālās un indikatīvi plānotās vērtības, sasniegšanas termiņi un sasniegšanas apliecinājumi ir noteikti šo noteikumu </w:t>
      </w:r>
      <w:r w:rsidR="00000000" w:rsidRPr="00000000" w:rsidDel="00000000">
        <w:rPr>
          <w:rtl w:val="0"/>
        </w:rPr>
        <w:t xml:space="preserve">1. </w:t>
      </w:r>
      <w:r w:rsidR="00000000" w:rsidRPr="00000000" w:rsidDel="00000000">
        <w:rPr>
          <w:rtl w:val="0"/>
        </w:rPr>
        <w:t xml:space="preserve">pielikumā</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Reformu un investīciju virziena atbalsts tiks sniegts granta veidā un tam pieejamais Atveseļošanas fonda finansējums ir 128 862 000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investīcijai 2.1.1.1.i. pieejamais finansējums ir 24 437 280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investīcijai 2.1.2.1.i. pieejamais finansējums ir 70 177 920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investīcijai 2.1.2.2.i. pieejamais finansējums ir 12 490 800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investīcijai 2.1.3.1.i. pieejamais finansējums ir 21 756 000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Pievienotās vērtības nodokļa (turpmāk – nodoklis) izmaksas nav attiecināmas finansēšanai no Atveseļošanas fonda finansējuma, bet šādas izmaksas ir iekļaujamas Atveseļošanas fonda projekta ietvaros un tiks finansētas atbilstoši šo noteikumu </w:t>
      </w:r>
      <w:r w:rsidR="00000000" w:rsidRPr="00000000" w:rsidDel="00000000">
        <w:rPr>
          <w:rtl w:val="0"/>
        </w:rPr>
        <w:t xml:space="preserve">34.</w:t>
      </w:r>
      <w:r w:rsidR="00000000" w:rsidRPr="00000000" w:rsidDel="00000000">
        <w:rPr>
          <w:rtl w:val="0"/>
        </w:rPr>
        <w:t xml:space="preserve"> un </w:t>
      </w:r>
      <w:r w:rsidR="00000000" w:rsidRPr="00000000" w:rsidDel="00000000">
        <w:rPr>
          <w:rtl w:val="0"/>
        </w:rPr>
        <w:t xml:space="preserve">35. </w:t>
      </w:r>
      <w:r w:rsidR="00000000" w:rsidRPr="00000000" w:rsidDel="00000000">
        <w:rPr>
          <w:rtl w:val="0"/>
        </w:rPr>
        <w:t xml:space="preserve">punktā</w:t>
      </w:r>
      <w:r w:rsidR="00000000" w:rsidRPr="00000000" w:rsidDel="00000000">
        <w:rPr>
          <w:rtl w:val="0"/>
        </w:rPr>
        <w:t xml:space="preserve"> minētajiem nosacījumiem.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Reformu un investīciju virzienam ir šāda sasaiste ar atklātas stratēģiskās autonomijas un drošības jautājumiem: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pētniecības datu repozitoriju izveidē tiks ievēroti un iestrādāti datu pārvaldības nosacījumi;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dalība Eiropas Atvērtās zinātnes mākonī sekmēs Eiropas stratēģisko autonomiju pētniecības datu pārvaldības jomā;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Latvijas nacionālās federētās mākoņdatošanas infrastruktūras izveide ar perspektīvu to integrēt Eiropas mākoņdatošanas infrastruktūrā sekmēs Eiropas stratēģisko autonomiju mākoņdatošanas jomā.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Reformu un investīciju virziena mērķa grupa ir privātais sektors, valsts pārvalde, valstspilsētu un novadu pašvaldības un biedrības.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Reformu un investīciju virziens tiek ieviests visā Latvijas teritorijā.</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w:t>
      </w:r>
      <w:r w:rsidR="00000000" w:rsidRPr="00000000" w:rsidDel="00000000">
        <w:rPr>
          <w:rtl w:val="0"/>
        </w:rPr>
        <w:t xml:space="preserve"> </w:t>
      </w:r>
      <w:r w:rsidR="00000000" w:rsidRPr="00000000" w:rsidDel="00000000">
        <w:rPr>
          <w:rStyle w:val="paragraph_header"/>
          <w:b w:val="1"/>
          <w:rtl w:val="0"/>
        </w:rPr>
        <w:t xml:space="preserve">Reformu un investīciju virziena īstenošanā un uzraudzībā iesaistīto institūciju pienākumi un atbildība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Reformu un investīciju virziena finansējuma saņēmēji ir: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tiešās pārvaldes iestādes;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Centrālā vēlēšanu komisija un Prokuratūra;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Rīgas brīvostas pārvalde;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valstspilsētu un novadu pašvaldības, kurām ir kapacitāte koplietošanas risinājumu nodrošināšanā pašvaldībām;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publiskas personas kapitālsabiedrības, kuras pilda pārvaldes uzdevumu, un atvasinātas publiskas personas, kas darbojas zinātniskās izpētes un augstākās izglītības jomā;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biedrība, kura pilda pārvaldes uzdevumu izveidot un uzturēt augstākās izglītības un pētniecības digitālos pakalpojumus;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biedrība, kura pilda pārvaldes uzdevumu attiecībā uz atkritumu poligonu informācijas apstrādi.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Nozares ministrija un Valsts kanceleja (turpmāk – nozares ministrija), plānojot šo noteikumu </w:t>
      </w:r>
      <w:r w:rsidR="00000000" w:rsidRPr="00000000" w:rsidDel="00000000">
        <w:rPr>
          <w:rtl w:val="0"/>
        </w:rPr>
        <w:t xml:space="preserve">4. </w:t>
      </w:r>
      <w:r w:rsidR="00000000" w:rsidRPr="00000000" w:rsidDel="00000000">
        <w:rPr>
          <w:rtl w:val="0"/>
        </w:rPr>
        <w:t xml:space="preserve">pielikumā</w:t>
      </w:r>
      <w:r w:rsidR="00000000" w:rsidRPr="00000000" w:rsidDel="00000000">
        <w:rPr>
          <w:rtl w:val="0"/>
        </w:rPr>
        <w:t xml:space="preserve"> minēto attiecīgi tai atbildībā nodoto investīciju  mērķu sasniegšanu, projektus īsteno patstāvīgi vai nodod to īstenošanu citam šo noteikumu </w:t>
      </w:r>
      <w:r w:rsidR="00000000" w:rsidRPr="00000000" w:rsidDel="00000000">
        <w:rPr>
          <w:rtl w:val="0"/>
        </w:rPr>
        <w:t xml:space="preserve">11. </w:t>
      </w:r>
      <w:r w:rsidR="00000000" w:rsidRPr="00000000" w:rsidDel="00000000">
        <w:rPr>
          <w:rtl w:val="0"/>
        </w:rPr>
        <w:t xml:space="preserve">punktā</w:t>
      </w:r>
      <w:r w:rsidR="00000000" w:rsidRPr="00000000" w:rsidDel="00000000">
        <w:rPr>
          <w:rtl w:val="0"/>
        </w:rPr>
        <w:t xml:space="preserve"> minētajam finansējuma saņēmējam, kas nodrošina šo noteikumu </w:t>
      </w:r>
      <w:r w:rsidR="00000000" w:rsidRPr="00000000" w:rsidDel="00000000">
        <w:rPr>
          <w:rtl w:val="0"/>
        </w:rPr>
        <w:t xml:space="preserve">13. </w:t>
      </w:r>
      <w:r w:rsidR="00000000" w:rsidRPr="00000000" w:rsidDel="00000000">
        <w:rPr>
          <w:rtl w:val="0"/>
        </w:rPr>
        <w:t xml:space="preserve">punktā</w:t>
      </w:r>
      <w:r w:rsidR="00000000" w:rsidRPr="00000000" w:rsidDel="00000000">
        <w:rPr>
          <w:rtl w:val="0"/>
        </w:rPr>
        <w:t xml:space="preserve"> minētās darbības.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Papildus normatīvajos aktos par Atveseļošanas fonda plāna īstenošanu un uzraudzību noteiktajiem nosacījumiem finansējuma saņēmējs nodrošina projekta īstenošanu atbilstoši projekta īstenošanas noteikumiem un termiņiem, tai skaitā: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plāno projekta īstenošanu saskaņā ar šo noteikumu </w:t>
      </w:r>
      <w:r w:rsidR="00000000" w:rsidRPr="00000000" w:rsidDel="00000000">
        <w:rPr>
          <w:rtl w:val="0"/>
        </w:rPr>
        <w:t xml:space="preserve">4. </w:t>
      </w:r>
      <w:r w:rsidR="00000000" w:rsidRPr="00000000" w:rsidDel="00000000">
        <w:rPr>
          <w:rtl w:val="0"/>
        </w:rPr>
        <w:t xml:space="preserve">pielikumā</w:t>
      </w:r>
      <w:r w:rsidR="00000000" w:rsidRPr="00000000" w:rsidDel="00000000">
        <w:rPr>
          <w:rtl w:val="0"/>
        </w:rPr>
        <w:t xml:space="preserve"> minēto investīciju mērķu sasniegšanu atbilstoši atvēlētajam finansējumam, sagatavo un iesniedz nozares ministrijai vai šo noteikumu </w:t>
      </w:r>
      <w:r w:rsidR="00000000" w:rsidRPr="00000000" w:rsidDel="00000000">
        <w:rPr>
          <w:rtl w:val="0"/>
        </w:rPr>
        <w:t xml:space="preserve">17. </w:t>
      </w:r>
      <w:r w:rsidR="00000000" w:rsidRPr="00000000" w:rsidDel="00000000">
        <w:rPr>
          <w:rtl w:val="0"/>
        </w:rPr>
        <w:t xml:space="preserve">punktā</w:t>
      </w:r>
      <w:r w:rsidR="00000000" w:rsidRPr="00000000" w:rsidDel="00000000">
        <w:rPr>
          <w:rtl w:val="0"/>
        </w:rPr>
        <w:t xml:space="preserve"> minētajai institūcijai Ministru kabineta rīkojuma projektu par projekta īstenošanu (turpmāk – rīkojuma projekts), iekļaujot par projektiem vismaz šādu informāciju: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ziņas par finansējuma saņēmēju, kas īsteno projekta darbības;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pasi (šo noteikumu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centralizētas funkcijas vai koplietošanas pakalpojuma attīstības plānu (šo noteikumu </w:t>
      </w:r>
      <w:r w:rsidR="00000000" w:rsidRPr="00000000" w:rsidDel="00000000">
        <w:rPr>
          <w:rtl w:val="0"/>
        </w:rPr>
        <w:t xml:space="preserve">3. </w:t>
      </w:r>
      <w:r w:rsidR="00000000" w:rsidRPr="00000000" w:rsidDel="00000000">
        <w:rPr>
          <w:rtl w:val="0"/>
        </w:rPr>
        <w:t xml:space="preserve">pielikums</w:t>
      </w:r>
      <w:r w:rsidR="00000000" w:rsidRPr="00000000" w:rsidDel="00000000">
        <w:rPr>
          <w:rtl w:val="0"/>
        </w:rPr>
        <w:t xml:space="preserve">), ja finansējuma saņēmējs projekta ietvaros plāno attīstīt centralizētas funkcijas vai koplietošanas pakalpojumus;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triju mēnešu laikā pēc tam, kad saņemts Vides aizsardzības un reģionālās attīstības ministrijas kā informācijas un komunikācijas tehnoloģiju pārvaldības organizācijas uzaicinājums par projekta iesnieguma iesniegšanu, ievada Kohēzijas politikas fondu vadības informācijas sistēmā (turpmāk – vadības informācijas sistēma) šādus projekta iesnieguma datus: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 </w:t>
      </w:r>
      <w:r w:rsidR="00000000" w:rsidRPr="00000000" w:rsidDel="00000000">
        <w:rPr>
          <w:rtl w:val="0"/>
        </w:rPr>
        <w:t xml:space="preserve">pielikumā</w:t>
      </w:r>
      <w:r w:rsidR="00000000" w:rsidRPr="00000000" w:rsidDel="00000000">
        <w:rPr>
          <w:rtl w:val="0"/>
        </w:rPr>
        <w:t xml:space="preserve"> norādīto informāciju par īstenojamo projektu;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informāciju par projekta posmu kalendāra plānu, kurā iekļautajiem posmiem ir noteikti konkrēti rezultāti un šo posmu īstenošanas termiņš nepārsniedz vienu gadu;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informāciju par projekta finansējuma sadalījumu pa projekta darbībām un izmaksu veidiem, kas sasaistīts ar šo noteikumu </w:t>
      </w:r>
      <w:r w:rsidR="00000000" w:rsidRPr="00000000" w:rsidDel="00000000">
        <w:rPr>
          <w:rtl w:val="0"/>
        </w:rPr>
        <w:t xml:space="preserve">13.2.2. </w:t>
      </w:r>
      <w:r w:rsidR="00000000" w:rsidRPr="00000000" w:rsidDel="00000000">
        <w:rPr>
          <w:rtl w:val="0"/>
        </w:rPr>
        <w:t xml:space="preserve">apakšpunktā</w:t>
      </w:r>
      <w:r w:rsidR="00000000" w:rsidRPr="00000000" w:rsidDel="00000000">
        <w:rPr>
          <w:rtl w:val="0"/>
        </w:rPr>
        <w:t xml:space="preserve"> minēto projekta posmu kalendāra plānu, norādot plānotās izmaksas pa projekta īstenošanas posmiem;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informāciju par projekta īstenošanas sadarbības partneriem un to plānotajām projekta īstenošanas darbībām un izmaksām, kā arī tiem plānoto avansa maksājuma apmēru;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īsteno projektu saskaņā ar šo noteikumu 4. pielikumā minēto investīciju mērķu sasniegšanu atbilstoši atvēlētajam finansējumam, projekta īstenošanas laikā iesniedz un aktualizē vadības informācijas sistēmā šādu informāciju par projektu: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iepirkumu plānu, tai skaitā informāciju par jau noslēgtiem iepirkumu līgumiem un citiem ar projekta īstenošanu saistītiem līgumiem un plānoto maksājumu pieprasījumu grafiku saskaņā ar projekta īstenošanas līgumu, aktualizējot to vadības informācijas sistēmā nekavējoties pēc izmaiņu identificēšanas;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dokumentus, kas apliecina projekta atskaites punktu un mērķu sasniegšanu, kā arī īsu sasniegtā rādītāja aprakstu, kas pierāda atbilstību reformu un investīciju virzienā ietvertā mērķa un ieguldījuma aprakstam;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līdz kārtējā gada 10. janvārim un 10. jūlijam ievada vadības informācijas sistēmā informāciju Atveseļošanas fonda plāna īstenošanas gaitas pusgada ziņojuma un maksājuma pieprasījuma sagatavošanai saskaņā ar </w:t>
      </w:r>
      <w:r w:rsidR="00000000" w:rsidRPr="00000000" w:rsidDel="00000000">
        <w:rPr>
          <w:rtl w:val="0"/>
        </w:rPr>
        <w:t xml:space="preserve">Eiropas Parlamenta un Padomes 2021. gada 12. februāra Regulas Nr. 2021/241, ar ko izveido Atveseļošanas un noturības mehānismu</w:t>
      </w:r>
      <w:r w:rsidR="00000000" w:rsidRPr="00000000" w:rsidDel="00000000">
        <w:rPr>
          <w:rtl w:val="0"/>
        </w:rPr>
        <w:t xml:space="preserve"> (turpmāk – regula Nr. 2021/241) 27. pantu;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vadības informācijas sistēmas funkcionalitāte informācijas ievadei nav pieejama, šo noteikumu </w:t>
      </w:r>
      <w:r w:rsidR="00000000" w:rsidRPr="00000000" w:rsidDel="00000000">
        <w:rPr>
          <w:rtl w:val="0"/>
        </w:rPr>
        <w:t xml:space="preserve">13.2.</w:t>
      </w:r>
      <w:r w:rsidR="00000000" w:rsidRPr="00000000" w:rsidDel="00000000">
        <w:rPr>
          <w:rtl w:val="0"/>
        </w:rPr>
        <w:t xml:space="preserve"> un </w:t>
      </w:r>
      <w:r w:rsidR="00000000" w:rsidRPr="00000000" w:rsidDel="00000000">
        <w:rPr>
          <w:rtl w:val="0"/>
        </w:rPr>
        <w:t xml:space="preserve">13.3.</w:t>
      </w:r>
      <w:r w:rsidR="00000000" w:rsidRPr="00000000" w:rsidDel="00000000">
        <w:rPr>
          <w:rtl w:val="0"/>
        </w:rPr>
        <w:t xml:space="preserve"> apakšpunktā minēto informāciju iesniedz šo noteikumu </w:t>
      </w:r>
      <w:r w:rsidR="00000000" w:rsidRPr="00000000" w:rsidDel="00000000">
        <w:rPr>
          <w:rtl w:val="0"/>
        </w:rPr>
        <w:t xml:space="preserve">14. </w:t>
      </w:r>
      <w:r w:rsidR="00000000" w:rsidRPr="00000000" w:rsidDel="00000000">
        <w:rPr>
          <w:rtl w:val="0"/>
        </w:rPr>
        <w:t xml:space="preserve">punktā</w:t>
      </w:r>
      <w:r w:rsidR="00000000" w:rsidRPr="00000000" w:rsidDel="00000000">
        <w:rPr>
          <w:rtl w:val="0"/>
        </w:rPr>
        <w:t xml:space="preserve"> minētajām institūcijām elektroniska dokumenta veidā, kas parakstīts ar drošu elektronisko parakstu;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projektu ietvaros tiek attīstītas informācijas sistēmas un platformas, to veic, ievērojot noteikumus, kas nosaka valsts informācijas sistēmu attīstības projektu uzraudzības kārtību un valsts informācijas sistēmām noteiktās vispārējās tehniskās prasības, un saskaņojot tos ar informācijas un komunikācijas tehnoloģiju pārvaldības organizāciju;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nodrošina preču piegādātāju un pakalpojumu sniedzēju piesaisti atbilstoši normatīvajiem aktiem publisko iepirkumu jomā, ievērojot atklātu, caurspīdīgu un vienlīdzīgu konkurenci nodrošinošu procedūru;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investīciju 2.1.1.1.i., 2.1.2.1.i. un 2.1.3.1.i. ietvaros nodrošina datu uzkrāšanu par minēto investīciju ietekmi uz kopējo reformu un investīciju virziena rādītāju ''Jaunu un modernizētu publisko digitālo pakalpojumu, produktu un procesu lietotāji'';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īsteno komunikācijas pasākumus, kā arī nodrošina publicitātes un vizuālās identitātes prasību izpildi atbilstoši </w:t>
      </w:r>
      <w:r w:rsidR="00000000" w:rsidRPr="00000000" w:rsidDel="00000000">
        <w:rPr>
          <w:rtl w:val="0"/>
        </w:rPr>
        <w:t xml:space="preserve">regulas Nr. 2021/241</w:t>
      </w:r>
      <w:r w:rsidR="00000000" w:rsidRPr="00000000" w:rsidDel="00000000">
        <w:rPr>
          <w:rtl w:val="0"/>
        </w:rPr>
        <w:t xml:space="preserve"> 34. panta 2. punktam un </w:t>
      </w:r>
      <w:r w:rsidR="00000000" w:rsidRPr="00000000" w:rsidDel="00000000">
        <w:rPr>
          <w:rtl w:val="0"/>
        </w:rPr>
        <w:t xml:space="preserve">Eiropas Komisijas un Latvijas Republikas Atveseļošanas un noturības mehānisma finansēšanas nolīguma</w:t>
      </w:r>
      <w:r w:rsidR="00000000" w:rsidRPr="00000000" w:rsidDel="00000000">
        <w:rPr>
          <w:rtl w:val="0"/>
        </w:rPr>
        <w:t xml:space="preserve"> 10. pantam;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pilnveido vai izstrādā Atveseļošanas fonda plāna īstenošanas nodrošināšanai nepieciešamo iekšējās kontroles sistēmu un nodrošina tās efektīvu darbību projekta īstenošanas laikā, tai skaitā nodrošinot vismaz šādas kontroles darbības: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interešu konflikta, korupcijas un krāpšanas nepieļaušanu projekta ietvaros;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dubultfinansējuma nepieļaušanu projekta ietvaros un sasaistē ar pārrobežu un daudzvalstu projektiem, kur attiecināms;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komercdarbības atbalsta nepieļaušanu projekta ietvaros;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attīsta un savlaicīgi ievieš tiesisko regulējumu, ja tas ir nepieciešams projekta ietvaros attīstāmo risinājumu ieviešanai vai darbībai;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plāno un nodrošina resursus projekta īstenošanas rezultātu ilgtspējai;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pie katra projekta maksājuma pieprasījuma pievieno apliecinājumu, ka nodokļa izmaksas nav un netiks atgūtas no valsts budžeta priekšnodokļa veidā;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nodrošina atsevišķu projekta izmaksu, tai skaitā nodokļa izmaksu uzskaiti un nodalīšanu;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nodrošina nodokļu apmaksai piešķirto līdzekļu atlikuma atgriešanu gadījumā, ja sākotnēji plānotais nodokļa apjoms ir lielāks nekā faktiski nepieciešamais;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līdz 2026. gada 31. maijam iesniedz noslēguma maksājuma dokumentāciju saskaņā ar projekta īstenošanas līgumu;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atmaksā Atveseļošanas fonda īstenošanas ietvaros piešķirto finansējumu, ja tas nav ieguldīts atbilstoši projekta īstenošanas līgumā noteiktajiem nosacījumiem un termiņiem;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investīciju 2.1.2.1.i. un 2.1.2.2.i. ietvaros projekta īstenošanas laikā izveido priekšnoteikumus, lai  turpinātu, attīstītu un izvērstu centralizētās funkcijas vai koplietošanas pakalpojuma sniegšanu (tai skaitā atbilstoši pielāgo informācijas sistēmas un procesus, papildina un apmāca personālu) saskaņā ar Ministru kabinetā saskaņoto centralizētās funkcijas vai koplietošanas pakalpojuma attīstības plānu (šo noteikumu </w:t>
      </w:r>
      <w:r w:rsidR="00000000" w:rsidRPr="00000000" w:rsidDel="00000000">
        <w:rPr>
          <w:rtl w:val="0"/>
        </w:rPr>
        <w:t xml:space="preserve">3. </w:t>
      </w:r>
      <w:r w:rsidR="00000000" w:rsidRPr="00000000" w:rsidDel="00000000">
        <w:rPr>
          <w:rtl w:val="0"/>
        </w:rPr>
        <w:t xml:space="preserve">pielikums</w:t>
      </w:r>
      <w:r w:rsidR="00000000" w:rsidRPr="00000000" w:rsidDel="00000000">
        <w:rPr>
          <w:rtl w:val="0"/>
        </w:rPr>
        <w:t xml:space="preserve">) un nodrošina šī plāna izpildi;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investīcijas 2.1.2.1.i. ietvaros šo noteikumu </w:t>
      </w:r>
      <w:r w:rsidR="00000000" w:rsidRPr="00000000" w:rsidDel="00000000">
        <w:rPr>
          <w:rtl w:val="0"/>
        </w:rPr>
        <w:t xml:space="preserve">11.4. </w:t>
      </w:r>
      <w:r w:rsidR="00000000" w:rsidRPr="00000000" w:rsidDel="00000000">
        <w:rPr>
          <w:rtl w:val="0"/>
        </w:rPr>
        <w:t xml:space="preserve">apakšpunktā</w:t>
      </w:r>
      <w:r w:rsidR="00000000" w:rsidRPr="00000000" w:rsidDel="00000000">
        <w:rPr>
          <w:rtl w:val="0"/>
        </w:rPr>
        <w:t xml:space="preserve"> minētie finansējuma saņēmēji projekta īstenošanas laikā izveido visām valstspilsētu un novadu pašvaldībām pieejamus koplietošanas risinājumus un koplietošanas pakalpojumus, kurus, projektam noslēdzoties, izmantos vismaz 10 struktūrvienības, iestādes vai publiskas personas kapitālsabiedrības vismaz piecās valstspilsētu un novadu pašvaldībās;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investīciju 2.1.1.1.i. un 2.1.3.1.i. ietvaros nodrošina projekta rezultātu ilgtspēju, tai skaitā projekta ietvaros izveidoto un ieviesto informācijas un komunikācijas tehnoloģiju  risinājumu darbību vismaz piecus gadus pēc projekta beigām;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nodrošina projekta rezultātu auditu vai revīziju, ko veic finansējuma saņēmējs, neatkarīgs revidents vai iekšējais auditors, lai pārliecinātos par projekta ietvaros veikto izmaksu pamatotību, atskaites punktu un mērķu sasniegšanu un atbilstību investīcijas īstenošanas nosacījumiem, tai skaitā ka nav konstatējamas pazīmes par pieļautu interešu konflikta, dubultfinansējumu, korupcijas un krāpšanas situāciju projektā, kā arī sasniegto rezultātu atbilstību projektā plānotajam;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nodrošina projektu īstenošanas dokumentu, tai skaitā apliecinājumu, kas pamato noteikto rādītāju sasniegšanu, glabāšanu piecus gadus pēc noslēguma maksājuma veikšanas.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Reformu un investīciju virziena īstenošanas uzraudzību nodrošina šādas institūcijas: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informācijas un komunikācijas tehnoloģiju pārvaldības organizācija;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nozaru ministrijas;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Centrālā finanšu un līgumu aģentūra (turpmāk – aģentūra).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Informācijas un komunikācijas tehnoloģiju pārvaldības organizācija  plāno, koordinē un uzrauga reformu un investīciju virziena mērķu sasniegšanu, tai skaitā: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saskaņo finansējuma saņēmēju sagatavotos rīkojumu projektus, novērtējot rīkojumu projektu un to pielikumu atbilstību šo noteikumu prasībām, tai skaitā plānoto ieguldījumu mērķu sasniegšanā;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veic reformu un investīciju virziena projektu ietvaros īstenojamo informācijas un komunikācijas tehnoloģiju risinājumu attīstības aktivitāšu uzraudzību saskaņā ar noteikumiem, kas nosaka valsts informācijas sistēmu attīstības projektu uzraudzības kārtību, ievērojot valsts informācijas sistēmām noteiktās vispārējās tehniskās prasības, kā arī atbilstoši kompetencei saskaņo projektu ietvaros attīstāmos koplietošanas pakalpojumus;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uzaicina finansējuma saņēmēju iesniegt projekta iesniegumu pēc rīkojuma projekta apstiprināšanas Ministru kabinetā;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mēneša laikā pēc projekta iesnieguma saņemšanas novērtē projekta iesnieguma atbilstību šo noteikumu prasībām, rīkojumam par projektu īstenošanu un projekta ietvaros īstenojamo informācijas un komunikācijas tehnoloģiju risinājumu attīstības aktivitāšu aprakstam, kā arī novērtē finansējuma saņēmēja atbilstību </w:t>
      </w:r>
      <w:r w:rsidR="00000000" w:rsidRPr="00000000" w:rsidDel="00000000">
        <w:rPr>
          <w:rtl w:val="0"/>
        </w:rPr>
        <w:t xml:space="preserve">Eiropas Parlamenta un Padomes 2018. gada 18. jūlija Regulas (ES, Euratom) 2018/1046 par finanšu noteikumiem, ko piemēro Savienības vispārējam budžetam, ar kuru groza Regulas (ES) Nr.1296/2013, (ES) Nr. 1301/2013, (ES) Nr. 1303/2013, (ES) Nr. 1304/2013, (ES) Nr. 1309/2013, (ES) Nr. 1316/2013, (ES) Nr. 223/2014, (ES) Nr.283/2014 un Lēmumu Nr. 541/2014/ES un atceļ Regulu (ES, Euratom) Nr. 966/2012</w:t>
      </w:r>
      <w:r w:rsidR="00000000" w:rsidRPr="00000000" w:rsidDel="00000000">
        <w:rPr>
          <w:rtl w:val="0"/>
        </w:rPr>
        <w:t xml:space="preserve">, 136. pantā noteiktajiem izslēgšanas kritērijiem;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paziņo finansējuma saņēmējam, nozares ministrijai (ja attiecināms) un aģentūrai (ja attiecināms), nosūtot informāciju elektroniska dokumenta veidā, kas parakstīts ar drošu elektronisko parakstu, par projekta iesnieguma apstiprināšanu un projekta īstenošanas līguma slēgšanas procedūras uzsākšanu, ja izpildīti šo noteikumu </w:t>
      </w:r>
      <w:r w:rsidR="00000000" w:rsidRPr="00000000" w:rsidDel="00000000">
        <w:rPr>
          <w:rtl w:val="0"/>
        </w:rPr>
        <w:t xml:space="preserve">15.4. </w:t>
      </w:r>
      <w:r w:rsidR="00000000" w:rsidRPr="00000000" w:rsidDel="00000000">
        <w:rPr>
          <w:rtl w:val="0"/>
        </w:rPr>
        <w:t xml:space="preserve">apakšpunktā</w:t>
      </w:r>
      <w:r w:rsidR="00000000" w:rsidRPr="00000000" w:rsidDel="00000000">
        <w:rPr>
          <w:rtl w:val="0"/>
        </w:rPr>
        <w:t xml:space="preserve"> minētie nosacījumi;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organizē projekta īstenošanas līguma slēgšanas procedūru ar šo noteikumu </w:t>
      </w:r>
      <w:r w:rsidR="00000000" w:rsidRPr="00000000" w:rsidDel="00000000">
        <w:rPr>
          <w:rtl w:val="0"/>
        </w:rPr>
        <w:t xml:space="preserve">25. </w:t>
      </w:r>
      <w:r w:rsidR="00000000" w:rsidRPr="00000000" w:rsidDel="00000000">
        <w:rPr>
          <w:rtl w:val="0"/>
        </w:rPr>
        <w:t xml:space="preserve">punktā</w:t>
      </w:r>
      <w:r w:rsidR="00000000" w:rsidRPr="00000000" w:rsidDel="00000000">
        <w:rPr>
          <w:rtl w:val="0"/>
        </w:rPr>
        <w:t xml:space="preserve"> minētajiem līgumslēdzējiem;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īsteno reformu un investīciju virziena atskaites punktu un mērķu sasniegšanas, kā arī projektu posmu plānu izpildes uzraudzību, piedaloties projektu uzraudzības un programmu padomju darbā;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veic tādu reformu un investīciju virziena ietvaros iekļauto projektu īstenošanas tiešu uzraudzību, kas saskaņā ar šo noteikumu </w:t>
      </w:r>
      <w:r w:rsidR="00000000" w:rsidRPr="00000000" w:rsidDel="00000000">
        <w:rPr>
          <w:rtl w:val="0"/>
        </w:rPr>
        <w:t xml:space="preserve">4. </w:t>
      </w:r>
      <w:r w:rsidR="00000000" w:rsidRPr="00000000" w:rsidDel="00000000">
        <w:rPr>
          <w:rtl w:val="0"/>
        </w:rPr>
        <w:t xml:space="preserve">pielikumu</w:t>
      </w:r>
      <w:r w:rsidR="00000000" w:rsidRPr="00000000" w:rsidDel="00000000">
        <w:rPr>
          <w:rtl w:val="0"/>
        </w:rPr>
        <w:t xml:space="preserve"> ir iekļauti ārpus savstarpēji saistītu projektu programmām (turpmāk – programmas), piesaistot Aizsardzības ministriju jautājumos, kas saistīti ar kiberdrošību;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izmanto tiesības piedalīties projektu un programmu koordinācijas un vadības darbā, tai skaitā iepazīties ar projekta ietvaros izmantoto vai izstrādāto projekta dokumentāciju;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piemēro korektīvās darbības šo noteikumu </w:t>
      </w:r>
      <w:r w:rsidR="00000000" w:rsidRPr="00000000" w:rsidDel="00000000">
        <w:rPr>
          <w:rtl w:val="0"/>
        </w:rPr>
        <w:t xml:space="preserve">11.1. </w:t>
      </w:r>
      <w:r w:rsidR="00000000" w:rsidRPr="00000000" w:rsidDel="00000000">
        <w:rPr>
          <w:rtl w:val="0"/>
        </w:rPr>
        <w:t xml:space="preserve">apakšpunktā</w:t>
      </w:r>
      <w:r w:rsidR="00000000" w:rsidRPr="00000000" w:rsidDel="00000000">
        <w:rPr>
          <w:rtl w:val="0"/>
        </w:rPr>
        <w:t xml:space="preserve"> minētajam finansējuma saņēmējam vai nozares ministrijai, ja tiek pārkāpti projekta īstenošanas līguma nosacījumi vai šo noteikumu prasības;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izmanto tiesības vienpusēji atkāpties no noslēgtā projekta īstenošanas līguma un vēršas Ministru kabinetā ar priekšlikumu grozīt rīkojumu par projekta īstenošanu jebkurā no šādiem gadījumiem: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finansējuma saņēmējs nepilda projekta īstenošanas līgumu, tai skaitā netiek ievēroti projektā noteiktie termiņi vai ir iestājušies citi apstākļi, kas negatīvi ietekmē vai var ietekmēt reformu un investīciju mērķa sasniegšanu;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finansējuma saņēmējs projekta īstenošanas laikā ir apzināti sniedzis nepatiesu informāciju;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līdz kārtējā gada 25. janvārim un 25. jūlijam ievada vadības informācijas sistēmā informāciju par reformu un investīciju virziena īstenošanas gaitu un tā ietvaros sasniegtajiem atskaites punktiem un mērķiem, maksājumu pieprasījumiem un izdevumiem, kā arī sasniegto rādītāju pamatojošiem dokumentiem, apkopojot finansējuma saņēmēju un nozaru ministriju sniegto informāciju;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īsteno komunikācijas pasākumus reformu un investīciju virziena ietvaros īstenojamiem stratēģiski svarīgiem projektiem.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Nozares ministrijas veic šādas darbības resora ietvaros īstenojamo reformu un investīciju virziena projektu uzraudzībā: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novērtē finansējuma saņēmēja sagatavoto rīkojuma projektu un tā pielikumus attiecībā uz šādu kritēriju izpildi: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ieceres atbilstība nozares politikai un prioritātēm;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ieceres īstenošanas lietderība, pamatojoties uz finansējuma saņēmēja veikto izdevumu un ieguvumu analīzi;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resursu pieejamība projekta ieceres īstenošanai un projekta īstenošanas rezultātu uzturēšanai;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apliecina projekta lietderību un resursu pieejamību projekta īstenošanai, īstenošanas uzraudzībai, kā arī projekta rezultātu uzturēšanai, pievienojot finansējuma saņēmēja sagatavotajam rīkojuma projektam šo noteikumu </w:t>
      </w:r>
      <w:r w:rsidR="00000000" w:rsidRPr="00000000" w:rsidDel="00000000">
        <w:rPr>
          <w:rtl w:val="0"/>
        </w:rPr>
        <w:t xml:space="preserve">5. </w:t>
      </w:r>
      <w:r w:rsidR="00000000" w:rsidRPr="00000000" w:rsidDel="00000000">
        <w:rPr>
          <w:rtl w:val="0"/>
        </w:rPr>
        <w:t xml:space="preserve">pielikumā</w:t>
      </w:r>
      <w:r w:rsidR="00000000" w:rsidRPr="00000000" w:rsidDel="00000000">
        <w:rPr>
          <w:rtl w:val="0"/>
        </w:rPr>
        <w:t xml:space="preserve"> minēto apliecinājumu, un iesniedz rīkojuma projektu Ministru kabinetā;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attiecībā uz šo noteikumu </w:t>
      </w:r>
      <w:r w:rsidR="00000000" w:rsidRPr="00000000" w:rsidDel="00000000">
        <w:rPr>
          <w:rtl w:val="0"/>
        </w:rPr>
        <w:t xml:space="preserve">11.1. </w:t>
      </w:r>
      <w:r w:rsidR="00000000" w:rsidRPr="00000000" w:rsidDel="00000000">
        <w:rPr>
          <w:rtl w:val="0"/>
        </w:rPr>
        <w:t xml:space="preserve">apakšpunktā</w:t>
      </w:r>
      <w:r w:rsidR="00000000" w:rsidRPr="00000000" w:rsidDel="00000000">
        <w:rPr>
          <w:rtl w:val="0"/>
        </w:rPr>
        <w:t xml:space="preserve"> minēto finansējuma saņēmēju īstenojamiem projektiem veic šādas darbības: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slēdz projektu īstenošanas līgumus ar šo noteikumu </w:t>
      </w:r>
      <w:r w:rsidR="00000000" w:rsidRPr="00000000" w:rsidDel="00000000">
        <w:rPr>
          <w:rtl w:val="0"/>
        </w:rPr>
        <w:t xml:space="preserve">25. </w:t>
      </w:r>
      <w:r w:rsidR="00000000" w:rsidRPr="00000000" w:rsidDel="00000000">
        <w:rPr>
          <w:rtl w:val="0"/>
        </w:rPr>
        <w:t xml:space="preserve">punktā</w:t>
      </w:r>
      <w:r w:rsidR="00000000" w:rsidRPr="00000000" w:rsidDel="00000000">
        <w:rPr>
          <w:rtl w:val="0"/>
        </w:rPr>
        <w:t xml:space="preserve"> minētajiem līgumslēdzējiem;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pieprasa projekta īstenošanai nepieciešamo finansējumu no budžeta programmas normatīvajos aktos noteiktajā kārtībā;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īsteno projektu uzraudzības funkcijas atbilstoši projekta īstenošanas līgumam, tai skaitā veic projekta īstenošanas risku pārvaldību, līdzdarbojoties programmas padomes un projekta uzraudzības padomes sastāvā saskaņā ar šo noteikumu </w:t>
      </w:r>
      <w:r w:rsidR="00000000" w:rsidRPr="00000000" w:rsidDel="00000000">
        <w:rPr>
          <w:rtl w:val="0"/>
        </w:rPr>
        <w:t xml:space="preserve">21. </w:t>
      </w:r>
      <w:r w:rsidR="00000000" w:rsidRPr="00000000" w:rsidDel="00000000">
        <w:rPr>
          <w:rtl w:val="0"/>
        </w:rPr>
        <w:t xml:space="preserve">punktu</w:t>
      </w:r>
      <w:r w:rsidR="00000000" w:rsidRPr="00000000" w:rsidDel="00000000">
        <w:rPr>
          <w:rtl w:val="0"/>
        </w:rPr>
        <w:t xml:space="preserv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pilnveido vai izstrādā Atveseļošanas fonda plāna īstenošanas nodrošināšanai nepieciešamo iekšējās kontroles sistēmu un nodrošina tās efektīvu darbību, tai skaitā atbilstoši kompetencei nodrošinot vismaz šādas kontroles darbības sadarbībā ar informācijas un komunikācijas tehnoloģiju pārvaldības organizāciju:</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interešu konflikta, korupcijas un krāpšanas novēršana;</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dubultfinansējuma riska novēršana;</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atskaites punktu un mērķu atbilstības un pamatojošās dokumentācijas pārbaude, tai skaitā datu ticamības pārbaude;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atbilstoši kompetencei piemēro korektīvās darbības finansējuma saņēmējam, ja tiek pārkāpti projekta īstenošanas līguma nosacījumi vai šo noteikumu prasības;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izmanto tiesības piedalīties projektu un programmu koordinācijas un vadības darbā, tai skaitā iepazīties ar projekta ietvaros izmantoto vai izstrādāto projekta dokumentāciju;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izmanto tiesības vienpusēji atkāpties no noslēgtā projekta īstenošanas līguma jebkurā no šādiem gadījumiem:</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finansējuma saņēmējs nepilda projekta īstenošanas līgumu, tai skaitā netiek ievēroti projektā noteiktie termiņi vai ir iestājušies citi apstākļi, kas negatīvi ietekmē vai var ietekmēt reformu un investīciju mērķa sasniegšanu;</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finansējuma saņēmējs projekta īstenošanas laikā ir apzināti sniedzis nepatiesu informāciju;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veic projekta noslēguma dokumentācijas pārbaudi līdz 2026. gada 31. augustam;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iesniedz informācijas un komunikācijas tehnoloģiju pārvaldības organizācijai informāciju pārvaldības deklarācijas sagatavošanai un apliecinājumu, nosūtot to elektroniska dokumenta veidā, kas parakstīts ar drošu elektronisko parakstu, vai pievienojot to vadības informācijas sistēmā;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īsteno komunikācijas pasākumus, tai skaitā arī par stratēģiski svarīgiem projektiem (ja attiecināms).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Projektiem, kuru finansējuma saņēmēji nav tiešās pārvaldes iestādes vai nozaru ministrijas pārraudzībā esošas valsts kapitālsabiedrības, nozaru ministriju atbildībā esošās funkcijas tiek izpildītas šādi: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Rīgas brīvostas pārvalde un Centrālā vēlēšanu komisija novērtē rīkojuma projekta saturu saskaņā ar šo noteikumu </w:t>
      </w:r>
      <w:r w:rsidR="00000000" w:rsidRPr="00000000" w:rsidDel="00000000">
        <w:rPr>
          <w:rtl w:val="0"/>
        </w:rPr>
        <w:t xml:space="preserve">16.1. </w:t>
      </w:r>
      <w:r w:rsidR="00000000" w:rsidRPr="00000000" w:rsidDel="00000000">
        <w:rPr>
          <w:rtl w:val="0"/>
        </w:rPr>
        <w:t xml:space="preserve">apakšpunktā</w:t>
      </w:r>
      <w:r w:rsidR="00000000" w:rsidRPr="00000000" w:rsidDel="00000000">
        <w:rPr>
          <w:rtl w:val="0"/>
        </w:rPr>
        <w:t xml:space="preserve"> minētajiem kritērijiem un iesniedz Vides aizsardzības un reģionālās attīstības ministrijā apliecinājumu saskaņā ar šo noteikumu </w:t>
      </w:r>
      <w:r w:rsidR="00000000" w:rsidRPr="00000000" w:rsidDel="00000000">
        <w:rPr>
          <w:rtl w:val="0"/>
        </w:rPr>
        <w:t xml:space="preserve">16.2. </w:t>
      </w:r>
      <w:r w:rsidR="00000000" w:rsidRPr="00000000" w:rsidDel="00000000">
        <w:rPr>
          <w:rtl w:val="0"/>
        </w:rPr>
        <w:t xml:space="preserve">apakšpunktu</w:t>
      </w:r>
      <w:r w:rsidR="00000000" w:rsidRPr="00000000" w:rsidDel="00000000">
        <w:rPr>
          <w:rtl w:val="0"/>
        </w:rPr>
        <w:t xml:space="preserve">. Vides aizsardzības un reģionālās attīstības ministrija apliecinājumu pēc saskaņošanas iesniedz Ministru kabinetā;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investīcijas 2.1.2.1.i. nolūka ''Pašvaldību pakalpojumu digitālā transformācija un pašvaldību atbalsta procesu modernizācija un centralizācija'' īstenojamiem projektiem: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programmas padomes vadību atbildīgā institūcija sagatavo un iesniedz Vides aizsardzības un reģionālās attīstības ministrijā šādus dokumentus: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rīkojuma projektu, kura saturs ir novērtēts saskaņā ar šo noteikumu </w:t>
      </w:r>
      <w:r w:rsidR="00000000" w:rsidRPr="00000000" w:rsidDel="00000000">
        <w:rPr>
          <w:rtl w:val="0"/>
        </w:rPr>
        <w:t xml:space="preserve">16.1. </w:t>
      </w:r>
      <w:r w:rsidR="00000000" w:rsidRPr="00000000" w:rsidDel="00000000">
        <w:rPr>
          <w:rtl w:val="0"/>
        </w:rPr>
        <w:t xml:space="preserve">apakšpunktā</w:t>
      </w:r>
      <w:r w:rsidR="00000000" w:rsidRPr="00000000" w:rsidDel="00000000">
        <w:rPr>
          <w:rtl w:val="0"/>
        </w:rPr>
        <w:t xml:space="preserve"> minētajiem kritērijiem;</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investīcijas 2.1.2.1.i. nolūka ''Pašvaldību pakalpojumu digitālā transformācija un pašvaldību atbalsta procesu modernizācija un centralizācija'' ieviešanas plānu, kas pievienots rīkojuma projekta pielikumā;</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apliecinājumu saskaņā ar šo noteikumu </w:t>
      </w:r>
      <w:r w:rsidR="00000000" w:rsidRPr="00000000" w:rsidDel="00000000">
        <w:rPr>
          <w:rtl w:val="0"/>
        </w:rPr>
        <w:t xml:space="preserve">16.2. </w:t>
      </w:r>
      <w:r w:rsidR="00000000" w:rsidRPr="00000000" w:rsidDel="00000000">
        <w:rPr>
          <w:rtl w:val="0"/>
        </w:rPr>
        <w:t xml:space="preserve">apakšpunktu</w:t>
      </w:r>
      <w:r w:rsidR="00000000" w:rsidRPr="00000000" w:rsidDel="00000000">
        <w:rPr>
          <w:rtl w:val="0"/>
        </w:rPr>
        <w:t xml:space="preserve">;</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vismaz piecu valstspilsētu un novadu pašvaldību apliecinājumus par rīkojuma projekta satura saskaņošanu un projekta īstenošanas laikā izstrādāto un ieviesto koplietošanas risinājumu un koplietošanas pakalpojumu izmantošanu pēc projekta noslēguma saskaņā ar šo noteikumu </w:t>
      </w:r>
      <w:r w:rsidR="00000000" w:rsidRPr="00000000" w:rsidDel="00000000">
        <w:rPr>
          <w:rtl w:val="0"/>
        </w:rPr>
        <w:t xml:space="preserve">13.18. </w:t>
      </w:r>
      <w:r w:rsidR="00000000" w:rsidRPr="00000000" w:rsidDel="00000000">
        <w:rPr>
          <w:rtl w:val="0"/>
        </w:rPr>
        <w:t xml:space="preserve">apakšpunktu</w:t>
      </w:r>
      <w:r w:rsidR="00000000" w:rsidRPr="00000000" w:rsidDel="00000000">
        <w:rPr>
          <w:rtl w:val="0"/>
        </w:rPr>
        <w:t xml:space="preserv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Vides aizsardzības un reģionālās attīstības ministrija saskaņo par programmas padomes vadību atbildīgās institūcijas iesniegto rīkojuma projektu, novērtējot tā atbilstību šo noteikumu prasībām un  investīcijas 2.1.2.1.i. nolūka ''Pašvaldību pakalpojumu digitālā transformācija un pašvaldību atbalsta procesu modernizācija un centralizācija'' ieviešanas plānam, tai skaitā plānoto ieguldījumu reformu un investīciju virziena mērķu sasniegšanā, un iesniedz to Ministru kabinetā;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Prokuratūra novērtē rīkojuma projekta saturu saskaņā ar šo noteikumu </w:t>
      </w:r>
      <w:r w:rsidR="00000000" w:rsidRPr="00000000" w:rsidDel="00000000">
        <w:rPr>
          <w:rtl w:val="0"/>
        </w:rPr>
        <w:t xml:space="preserve">16.1. </w:t>
      </w:r>
      <w:r w:rsidR="00000000" w:rsidRPr="00000000" w:rsidDel="00000000">
        <w:rPr>
          <w:rtl w:val="0"/>
        </w:rPr>
        <w:t xml:space="preserve">apakšpunktā</w:t>
      </w:r>
      <w:r w:rsidR="00000000" w:rsidRPr="00000000" w:rsidDel="00000000">
        <w:rPr>
          <w:rtl w:val="0"/>
        </w:rPr>
        <w:t xml:space="preserve"> minētajiem kritērijiem un iesniedz apliecinājumu saskaņā ar šo noteikumu </w:t>
      </w:r>
      <w:r w:rsidR="00000000" w:rsidRPr="00000000" w:rsidDel="00000000">
        <w:rPr>
          <w:rtl w:val="0"/>
        </w:rPr>
        <w:t xml:space="preserve">16.2. </w:t>
      </w:r>
      <w:r w:rsidR="00000000" w:rsidRPr="00000000" w:rsidDel="00000000">
        <w:rPr>
          <w:rtl w:val="0"/>
        </w:rPr>
        <w:t xml:space="preserve">apakšpunktu</w:t>
      </w:r>
      <w:r w:rsidR="00000000" w:rsidRPr="00000000" w:rsidDel="00000000">
        <w:rPr>
          <w:rtl w:val="0"/>
        </w:rPr>
        <w:t xml:space="preserve"> Tieslietu ministrijai. Tieslietu ministrija apliecinājumu pēc saskaņošanas iesniedz Ministru kabinetā.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Aģentūra papildus normatīvajos aktos par Atveseļošanas fonda īstenošanu un uzraudzību noteiktajam veic šādas darbības: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attiecībā uz šo noteikumu </w:t>
      </w:r>
      <w:r w:rsidR="00000000" w:rsidRPr="00000000" w:rsidDel="00000000">
        <w:rPr>
          <w:rtl w:val="0"/>
        </w:rPr>
        <w:t xml:space="preserve">11.2.</w:t>
      </w:r>
      <w:r w:rsidR="00000000" w:rsidRPr="00000000" w:rsidDel="00000000">
        <w:rPr>
          <w:rtl w:val="0"/>
        </w:rPr>
        <w:t xml:space="preserve">, 11.3., 11.4., 11.5., 11.6. un </w:t>
      </w:r>
      <w:r w:rsidR="00000000" w:rsidRPr="00000000" w:rsidDel="00000000">
        <w:rPr>
          <w:rtl w:val="0"/>
        </w:rPr>
        <w:t xml:space="preserve">11.7. </w:t>
      </w:r>
      <w:r w:rsidR="00000000" w:rsidRPr="00000000" w:rsidDel="00000000">
        <w:rPr>
          <w:rtl w:val="0"/>
        </w:rPr>
        <w:t xml:space="preserve">apakšpunktā</w:t>
      </w:r>
      <w:r w:rsidR="00000000" w:rsidRPr="00000000" w:rsidDel="00000000">
        <w:rPr>
          <w:rtl w:val="0"/>
        </w:rPr>
        <w:t xml:space="preserve"> minēto finansējuma saņēmēju īstenojamiem projektiem veic šādas darbības: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tas noteikts projekta īstenošanas līgumā, – pamatojoties uz finansējuma saņēmēja rakstisku avansa pieprasījumu, piešķir avansa maksājumus ne vairāk kā 30 % apmērā, ko finansējuma saņēmējs apgūst sešu mēnešu laikā saimnieciskā gada ietvaros;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maksājumu pieprasījumu saņemšanas pārbauda, vai tam pievienots apliecinājums, ka nav atgūts nodoklis no valsts budžeta priekšnodokļa veidā;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veic maksājumus finansējuma saņēmējam atbilstoši vadības informācijas sistēmā ievadītajai informācijai un projekta īstenošanas līgumā noteiktajiem un sekmīgi noslēgtajiem projekta posmiem, kā arī veic projekta noslēguma maksājumu;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veic projekta noslēguma dokumentācijas pārbaudi un noslēguma maksājumu līdz 2026. gada 31. augustam;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tiesīga vienpusēji atkāpties no projekta īstenošanas līguma jebkurā no šādiem gadījumiem: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finansējuma saņēmējs nepilda projekta īstenošanas līgumu, tai skaitā netiek ievēroti projektā noteiktie termiņi vai ir iestājušies citi apstākļi, kas negatīvi ietekmē vai var ietekmēt reformu un investīciju mērķa sasniegšanu;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finansējuma saņēmējs projekta īstenošanas laikā ir apzināti sniedzis nepatiesu informāciju;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citos gadījumos, ko paredz projekta īstenošanas līgums.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Reformu un investīciju virziena mērķu efektīvas sasniegšanas un projektu īstenošanas savstarpējās koordinēšanas nolūkos projekti tiek iekļauti programmās, kuru pārvaldību nodrošina programmu padomes atbilstoši šo noteikumu </w:t>
      </w:r>
      <w:r w:rsidR="00000000" w:rsidRPr="00000000" w:rsidDel="00000000">
        <w:rPr>
          <w:rtl w:val="0"/>
        </w:rPr>
        <w:t xml:space="preserve">4. </w:t>
      </w:r>
      <w:r w:rsidR="00000000" w:rsidRPr="00000000" w:rsidDel="00000000">
        <w:rPr>
          <w:rtl w:val="0"/>
        </w:rPr>
        <w:t xml:space="preserve">pielikumam</w:t>
      </w:r>
      <w:r w:rsidR="00000000" w:rsidRPr="00000000" w:rsidDel="00000000">
        <w:rPr>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 </w:t>
      </w:r>
      <w:r w:rsidR="00000000" w:rsidRPr="00000000" w:rsidDel="00000000">
        <w:rPr>
          <w:rtl w:val="0"/>
        </w:rPr>
        <w:t xml:space="preserve">pielikumā</w:t>
      </w:r>
      <w:r w:rsidR="00000000" w:rsidRPr="00000000" w:rsidDel="00000000">
        <w:rPr>
          <w:rtl w:val="0"/>
        </w:rPr>
        <w:t xml:space="preserve"> minētā par programmas vadību atbildīgā institūcija izveido programmas padomi vai veic izmaiņas jau esošu projektu padomju tiesību aktos, uzdodot tai arī programmas padomes funkcijas un, ja nepieciešams, papildina tās sastāvu, nodrošinot, ka programmas padomes sastāvā ir šādas institūcijas: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informācijas un komunikācijas tehnoloģiju pārvaldības organizācija;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programmā ietverto projektu nozaru ministrijas un finansējuma saņēmēji;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aģentūra, ja programmā ir ietverti šo noteikumu </w:t>
      </w:r>
      <w:r w:rsidR="00000000" w:rsidRPr="00000000" w:rsidDel="00000000">
        <w:rPr>
          <w:rtl w:val="0"/>
        </w:rPr>
        <w:t xml:space="preserve">11.2.</w:t>
      </w:r>
      <w:r w:rsidR="00000000" w:rsidRPr="00000000" w:rsidDel="00000000">
        <w:rPr>
          <w:rtl w:val="0"/>
        </w:rPr>
        <w:t xml:space="preserve">, 11.3., 11.4., 11.5., 11.6. un </w:t>
      </w:r>
      <w:r w:rsidR="00000000" w:rsidRPr="00000000" w:rsidDel="00000000">
        <w:rPr>
          <w:rtl w:val="0"/>
        </w:rPr>
        <w:t xml:space="preserve">11.7. </w:t>
      </w:r>
      <w:r w:rsidR="00000000" w:rsidRPr="00000000" w:rsidDel="00000000">
        <w:rPr>
          <w:rtl w:val="0"/>
        </w:rPr>
        <w:t xml:space="preserve">apakšpunktā</w:t>
      </w:r>
      <w:r w:rsidR="00000000" w:rsidRPr="00000000" w:rsidDel="00000000">
        <w:rPr>
          <w:rtl w:val="0"/>
        </w:rPr>
        <w:t xml:space="preserve"> minēto finansējuma saņēmēju īstenojamie projekti.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Programmas padome nodrošina programmā iekļauto projektu īstenošanas savstarpējo koordināciju, tai skaitā veic šādas darbības: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izvērtē programmā ietverto projektu savstarpējo ietekmju riskus un gadījumā, ja tiek konstatēta programmā ietverto projektu savstarpējā ietekme, sniedz priekšlikumus finansējuma saņēmējiem par nepieciešamo rīcību, lai savstarpēji salāgotu projektu īstenošanas plānus un organizētu projektu norisi;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ierosina priekšlikumus par grozījumiem Atveseļošanas fonda attīstības plānošanas dokumentos;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ierosina priekšlikumus nozares ministrijai sadarbībā ar informācijas un komunikācijas tehnoloģiju pārvaldības organizāciju veikt šo noteikumu </w:t>
      </w:r>
      <w:r w:rsidR="00000000" w:rsidRPr="00000000" w:rsidDel="00000000">
        <w:rPr>
          <w:rtl w:val="0"/>
        </w:rPr>
        <w:t xml:space="preserve">11.1. </w:t>
      </w:r>
      <w:r w:rsidR="00000000" w:rsidRPr="00000000" w:rsidDel="00000000">
        <w:rPr>
          <w:rtl w:val="0"/>
        </w:rPr>
        <w:t xml:space="preserve">apakšpunktā</w:t>
      </w:r>
      <w:r w:rsidR="00000000" w:rsidRPr="00000000" w:rsidDel="00000000">
        <w:rPr>
          <w:rtl w:val="0"/>
        </w:rPr>
        <w:t xml:space="preserve"> minēto finansējuma saņēmēju īstenoto projektu dokumentācijas un darbību izlases pārbaudes, lai gūtu pārliecību, ka: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reformu un investīciju virziena investīciju projektu īstenošanā nav konstatējamas pazīmes, kas liecina par pieļautu interešu konflikta, korupcijas, krāpšanas vai dubultā finansējuma situāciju;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reformu un investīciju virziena investīciju definēto atskaites punktu un mērķu izpildes dati ir ticami.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Finansējuma saņēmējs projekta īstenošanas uzraudzībai ne vēlāk kā triju mēnešu laikā pēc projekta īstenošanas līguma noslēgšanas izveido projekta uzraudzības padomi. Uzraudzības padomē tiek iekļauti finansējuma saņēmēja vadības, projekta sadarbības partneru (ja attiecināms), nozares ministrijas (ja attiecināms), aģentūras (ja attiecināms), programmas padomes vadītāja (ja attiecināms) un informācijas un komunikācijas tehnoloģiju pārvaldības organizācijas pārstāvji.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Projekta uzraudzības padomes sanāksmes tiek sasauktas ne retāk kā reizi sešos mēnešos un tās var organizēt programmu padomju sanāksmju ietvaros vai atsevišķi.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Reformu un investīciju virziena mērķu sasniegšanas koordinēšanai, kā arī programmu pārvaldībai nepieciešamos administratīvos resursus un tehnoloģiskās ekspertīzes, kā arī valsts vienotās informācijas un komunikācijas tehnoloģiju arhitektūras ieviešanas koordinācijas resursus nodrošina Vides aizsardzības un reģionālās attīstības ministrija investīcijas 2.1.2.1.i. nolūka ''Valsts pārvaldes IKT attīstības projektu programmu un arhitektūras pārvaldība'' īstenojamajā projekta ietvaros.</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III.</w:t>
      </w:r>
      <w:r w:rsidR="00000000" w:rsidRPr="00000000" w:rsidDel="00000000">
        <w:rPr>
          <w:rtl w:val="0"/>
        </w:rPr>
        <w:t xml:space="preserve"> </w:t>
      </w:r>
      <w:r w:rsidR="00000000" w:rsidRPr="00000000" w:rsidDel="00000000">
        <w:rPr>
          <w:rStyle w:val="paragraph_header"/>
          <w:b w:val="1"/>
          <w:rtl w:val="0"/>
        </w:rPr>
        <w:t xml:space="preserve">Projektu īstenošanas līgumi, sadarbības partneri un nosacījumi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11.1. </w:t>
      </w:r>
      <w:r w:rsidR="00000000" w:rsidRPr="00000000" w:rsidDel="00000000">
        <w:rPr>
          <w:rtl w:val="0"/>
        </w:rPr>
        <w:t xml:space="preserve">apakšpunktā</w:t>
      </w:r>
      <w:r w:rsidR="00000000" w:rsidRPr="00000000" w:rsidDel="00000000">
        <w:rPr>
          <w:rtl w:val="0"/>
        </w:rPr>
        <w:t xml:space="preserve"> minētie finansējuma saņēmēji projektu īstenošanas līgumu slēdz ar informācijas un komunikācijas tehnoloģiju pārvaldības organizāciju un nozares ministriju.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11.2.</w:t>
      </w:r>
      <w:r w:rsidR="00000000" w:rsidRPr="00000000" w:rsidDel="00000000">
        <w:rPr>
          <w:rtl w:val="0"/>
        </w:rPr>
        <w:t xml:space="preserve">, 11.3., 11.4., 11.5., 11.6. un </w:t>
      </w:r>
      <w:r w:rsidR="00000000" w:rsidRPr="00000000" w:rsidDel="00000000">
        <w:rPr>
          <w:rtl w:val="0"/>
        </w:rPr>
        <w:t xml:space="preserve">11.7. </w:t>
      </w:r>
      <w:r w:rsidR="00000000" w:rsidRPr="00000000" w:rsidDel="00000000">
        <w:rPr>
          <w:rtl w:val="0"/>
        </w:rPr>
        <w:t xml:space="preserve">apakšpunktā</w:t>
      </w:r>
      <w:r w:rsidR="00000000" w:rsidRPr="00000000" w:rsidDel="00000000">
        <w:rPr>
          <w:rtl w:val="0"/>
        </w:rPr>
        <w:t xml:space="preserve"> minētie finansējuma saņēmēji projektu īstenošanas līgumu slēdz ar aģentūru.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Projekta īstenošanas līgumā tiek iekļauts pienākums finansējuma saņēmējam izvērtēt un nodrošināt to, ka netiek sniegts komercdarbības atbalsts, kur attiecināms, kā arī šādi nosacījumi attiecībā uz principa ''nenodarīt būtisku kaitējumu'' ievērošanu: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īstenošanas ietvaros, veicot datortehnikas un cita tehnoloģiskā aprīkojuma (iekārtu) iegādi, tiks piemērots zaļā publiskā iepirkuma princips;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tikai investīcijas 2.1.2.2. i projektu īstenošanas nosacījumos: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ietvaros modernizējamam datu centram reizi mēnesī tiks veikti energoefektivitātes mērījumi, tai skaitā iegūstot sākotnējos datus situācijai pirms projekta ietvaros veicamās modernizācijas (papildus skaitļošanas jaudas nodrošinošo un citu iekārtu instalācijas);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tiks nodrošināts, ka modernizējamā datu centra energoefektivitātes rādītāji modernizācijas procesā netiks pasliktināti.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Finansējuma saņēmējs projekta īstenošanā var iesaistīt sadarbības partnerus, kas var būt valsts pārvaldes iestādes, valstspilsētu un novadu pašvaldības, valsts un pašvaldību kapitālsabiedrības, atvasinātas publiskas personas un biedrības. Sadarbības partnera iesaiste nenoņem atbildību no finansējuma saņēmēja par projekta mērķu sasniegšanu un tā īstenošanu atbilstoši projekta īstenošanas līguma nosacījumiem.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Ja projekta īstenošanā tiek iesaistīts sadarbības partneris, finansējuma saņēmējs triju mēnešu laikā pēc sadarbības partnera iesaistīšanās projektā noslēdz sadarbības līgumu, kurā noteikti pušu pienākumi un tiesības, tai skaitā sadarbības partneriem, kas veic arī komercdarbību, iekļaujot nosacījumu, ka projekta finansējums netiek izmantots komercdarbības atbalstam. Sadarbības līgumā var tikt iekļauts nosacījums par avansa maksājumu finansējuma saņēmēja sadarbības partneriem, kura apmēru nosaka finansējuma saņēmējs un kas nedrīkst pārsniegt 30 % no sadarbības partnerim plānotā maksājuma kopējā apmēra.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Projekta izmaksas ir attiecināmas no 2021. gada 1. februāra. Attiecināt izmaksas var par tādām darbībām, kas uz projekta īstenošanas līguma noslēgšanas brīdi nav pabeigtas.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4.1.</w:t>
      </w:r>
      <w:r w:rsidR="00000000" w:rsidRPr="00000000" w:rsidDel="00000000">
        <w:rPr>
          <w:rtl w:val="0"/>
        </w:rPr>
        <w:t xml:space="preserve"> un </w:t>
      </w:r>
      <w:r w:rsidR="00000000" w:rsidRPr="00000000" w:rsidDel="00000000">
        <w:rPr>
          <w:rtl w:val="0"/>
        </w:rPr>
        <w:t xml:space="preserve">4.2.</w:t>
      </w:r>
      <w:r w:rsidR="00000000" w:rsidRPr="00000000" w:rsidDel="00000000">
        <w:rPr>
          <w:rtl w:val="0"/>
        </w:rPr>
        <w:t xml:space="preserve">  apakšpunktā minēto reformu un investīciju virziena mērķu sasniegšanai projekta ietvaros var tikt veiktas šādas atbalstāmās darbības: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pārvaldes (tai skaitā zinātnisko institūciju, augstākās izglītības iestāžu) procesu un pakalpojumu modernizācija, tos digitalizējot, tai skaitā: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tādu valsts pārvaldes funkciju, procesu un pakalpojumu modernizācijas pasākumi (tai skaitā modernizācijai nepieciešamo tehnoloģisko risinājumu attīstība un ieviešana), kas vēl nav digitalizēti vai tiek attīstīti no jauna, vai pilnveidoti;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modernizācijas pasākumi, kas ir saistīti ar valsts pārvaldes datu apstrādes procesiem un rada priekšnoteikumus datu pārvaldības reformas īstenošanai, tai skaitā modernizācijai nepieciešamo informācijas sistēmu izstrāde un attīstība;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pārvaldes (tai skaitā valstspilsētu un novadu pašvaldību zinātnisko institūciju, augstākās izglītības iestāžu) centralizētu platformu un koplietošanas pakalpojumu attīstība, tai skaitā: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pārvaldes informācijas un komunikācijas tehnoloģiju un atbalsta funkciju konsolidācija, centralizējot kompetences centros vienveidīgu vairāku iestāžu atbalstam nepieciešamo pārvaldes pakalpojumu sniegšanas, informācijas un komunikācijas tehnoloģiju un atbalsta funkciju koplietošanas pakalpojumus;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pārvaldes iestāžu skaitļošanas un datu glabātavu infrastruktūras pakalpojumu konsolidācija, izveidojot specializētus kompetenču centrus;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pārvaldes aprīkošana ar specializētiem tehnoloģiskiem risinājumiem un specializētām iekārtām, kas projekta darbību plāna ietvaros veikta, lai sasniegtu konkrētā investīcijas pasākuma mērķi, nodrošinot iespējas īstenot digitāli transformētus pārvaldes procesus;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datu pārvaldības ieviešana un attīstība, tai skaitā: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pārvaldes (t. sk. zinātniskās institūcijas) un privātā sektora datu un pakalpojumu pieejamība un koplietošana, izveidojot pamatu datu un platformu ekonomikas attīstībai un savietojamībai ar Eiropas datu telpām un nodrošinot datu kopīgošanu Eiropas Savienības ietvaros;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tehnoloģisko un organizatorisko risinājumu izveide, kas nodrošina datu pārnozaru apriti un izmantošanu (tai skaitā pētniecisko datu), valsts platformu pieejamību komercsektora un valsts pārvaldes darbības atbalstam un pakalpojumu attīstībai vai personas pārvaldītu datu koplietošanas iespēju;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projektu vadība un administrēšana;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programmu īstenošanas koordinēšana un informācijas un komunikācijas tehnoloģiju arhitektūras pārvaldība projektu un programmu līmenī, lai veicinātu reformu un investīciju virziena mērķu efektīvu sasniegšanu projektu un programmu mijiedarbībā;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vizuālās identitātes un publicitātes pasākumi atbilstoši </w:t>
      </w:r>
      <w:r w:rsidR="00000000" w:rsidRPr="00000000" w:rsidDel="00000000">
        <w:rPr>
          <w:rtl w:val="0"/>
        </w:rPr>
        <w:t xml:space="preserve">regulas Nr. 2021/241</w:t>
      </w:r>
      <w:r w:rsidR="00000000" w:rsidRPr="00000000" w:rsidDel="00000000">
        <w:rPr>
          <w:rtl w:val="0"/>
        </w:rPr>
        <w:t xml:space="preserve"> 34. panta 2. punktā noteiktajām prasībām un </w:t>
      </w:r>
      <w:r w:rsidR="00000000" w:rsidRPr="00000000" w:rsidDel="00000000">
        <w:rPr>
          <w:rtl w:val="0"/>
        </w:rPr>
        <w:t xml:space="preserve">Eiropas Komisijas un Latvijas Republikas Atveseļošanas un noturības mehānisma finansēšanas nolīguma</w:t>
      </w:r>
      <w:r w:rsidR="00000000" w:rsidRPr="00000000" w:rsidDel="00000000">
        <w:rPr>
          <w:rtl w:val="0"/>
        </w:rPr>
        <w:t xml:space="preserve"> 10. pantam;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projekta rezultātu audits vai revīzija, ko veic finansējuma saņēmējs, neatkarīgs revidents vai iekšējais auditors, lai pārliecinātos par projekta ietvaros veikto izmaksu pamatotību, atskaites punktu un mērķu sasniegšanu un atbilstību investīcijas īstenošanas nosacījumiem, tai skaitā ka nav konstatējamas pazīmes par pieļautu interešu konflikta, dubultfinansējumu, korupcijas un krāpšanas situāciju projektā, kā arī sasniegto rezultātu atbilstību projektā plānotajam.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Projekta attiecināmās izmaksas ir šādu veidu izmaksas, kas radušās, īstenojot projekta ietvaros atbalstāmās darbības: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darbības procesu analīzes, procesu un pakalpojumu pilnveides izmaksas: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procesu un pakalpojumu lietotāju vajadzību analīzes izmaksas;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pakalpojuma procesa projektēšanas, pārbūves un digitalizācijas izmaksas;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elektronisko pakalpojumu projektēšanas, izveides, pārveides un pielāgošanas izmaksas;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projekta ietvaros pilnveidojamās informācijas sistēmas un esošu elektronisko pakalpojumu audita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informācijas sistēmu projektēšanas, izstrādes vai iegādes un datu pārvaldības ieviešanas izmaksas, tai skaitā: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informācijas sistēmas, pētniecības datu pārvaldības sistēmas projektēšanas, izstrādes vai iegādes iepirkuma tehniskās specifikācijas izstrādes izmaksas;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izvēlētai izstrādes metodei atbilstošas dokumentācijas izstrādes izmaksas;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informācijas sistēmas projektējuma izmaksas, tai skaitā informācijas sistēmu arhitektūras, lietotāju saskarnes un citu projektējumu izstrāde, saskaņā ar izvēlēto izstrādes metodi;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informācijas sistēmas programmatūras izstrādes izmaksas, tai skaitā integrācijas saskarņu izstrādes izmaksas;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programmatūras sistēmas licenču iegādes izmaksas, ja maksas programmatūras produkta vai programmatūras komponentes izmantošanas lietderība ir pamatota un saskaņota atbilstoši normatīvajiem aktiem valsts informācijas sistēmu vispārējo tehnisko prasību jomā;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datu importa un migrācijas veikšanas izmaksas (tai skaitā datu semantiskās un tehniskās savietojamības nodrošināšanas izmaksas, datu strukturēšanas un datu bagātināšanas izmaksas);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informācijas resursu digitalizācijas izmaksas;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datu sagatavošanas centralizētai koplietošanas pārvaldībai, pētniecības datu pārvaldības plānu izstrādes un datu publicēšanas atkalizmantošanai izmaksas (t. sk. specializētu datu kolekciju izveide, pakalpojumu datu kontekstualizēšanas izmaksas u. tml.);</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datu kvalitātes auditu un datu kvalitātes uzlabojumu veikšanas izmaksas;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administratoru un to informācijas sistēmas lietotāju, pētniecības datu pārvaldnieku apmācību izmaksas, kuri, izmantojot informācijas sistēmu, nodrošina pakalpojumu sniegšanu;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informācijas sistēmas pielāgošana informācijas un komunikācijas tehnoloģiju ārpakalpojumu izmantošanai, tai skaitā informācijas sistēmas konfigurēšanas izmaksas un izmaksas, kas saistītas ar informācijas sistēmas darbināšanai izmantojamo ārpakalpojumu specificēšanu, konfigurēšanu un pielāgošanu;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informācijas sistēmas izstrādes vai iegādes un ieviešanas kvalitātes kontroles izmaksas, tai skaitā testēšanas izmaksas un informācijas sistēmas ieviešanas autoruzraudzības un projekta ieviešanas dokumentācijas izstrādes izmaksas;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informācijas sistēmas (tai skaitā pētniecības datu) reģistrēšanas maksa starptautiskos repozitorijos un tīklos, lai nodrošinātu starptautisku datu apmaiņu;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informācijas tehnoloģiju risinājuma koda attīrīšanas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informācijas un komunikācijas tehnoloģiju infrastruktūras pakalpojumu izmaksas projekta īstenošanas nodrošinājumam, tai skaitā mākoņdatošanas un saistīto pakalpojumu izmaksas informācijas sistēmu izstrādes un ieviešanas nodrošināšanai projekta laikā;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tikai investīcijas 2.1.2.2.i. projektiem – datu centru un skaitļošanas infrastruktūras tehniskās infrastruktūras un tās darbināšanai nepieciešamās ražotāja sērijveida programmatūras iegādes izmaksas, kas nepieciešamas projekta mērķu sasniegšanai: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serveru tehnikas un tās uzstādīšanai nepieciešamās infrastruktūras iegādes izmaksas;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datu masīvu iekārtas iegādes izmaksas;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sērijveida programmatūras iegādes izmaksas, tai skaitā licenču un uzturēšanas atbalsta atjauninājumu izmaksas licenču vai programmatūras darbības periodā, kas nepārsniedz piecus gadus;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tehniskās infrastruktūras un ražotāja sērijveida programmatūras uzstādīšanas un konfigurēšanas izmaksas;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datu pārraides tīklu iekārtu iegādes izmaksas datu savienojumu vai datu transformācijas pieslēguma nodrošināšanai valsts pārvaldes federētajam mākonim;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specializētu tehnoloģisko risinājumu un iekārtu sagādes un pielāgošanas izmaksas, kas radušās, konkrētā investīcijas pasākuma mērķa īstenošanas ietvaros aprīkojot valsts pārvaldes institūciju ar tehnoloģiskiem risinājumiem un iekārtām, kas nodrošina iespējas īstenot digitāli transformētus pārvaldes procesus;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apmācību, informatīvo un publicitātes pasākumu, atvērto datu izmantošanas veicināšanas izmaksas, t. sk.:</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ieviešamo IKT risinājumu administratoru un lietotāju apmācību, informatīvo un publicitātes pasākumu izmaksas, nepārsniedzot trīs procentus no projekta kopējām attiecināmajām izmaksām;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programmatūras lietotāja un administratora lietošanas atbalsta materiālu, tai skaitā interaktīvu materiālu un rokasgrāmatu, izstrādes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valsts pārvaldes vienoto klientu apkalpošanas centru (turpmāk – centri) izvēršanas izmaksas, tai skaitā centru nodrošinošās informācijas un komunikācijas tehnoloģiju sistēmas pilnveides, attālinātā ierēdņa pakalpojuma attīstības, saistītās informācijas un komunikācijas tehnoloģiju infrastruktūras un centra telpu pielāgošanas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projekta vadības un īstenošanas personāla atlīdzības izmaksas, kas ietver projekta vadībā un īstenošanā iesaistīto ekspertu atalgojuma izmaksas atbilstoši Valsts un pašvaldību atlīdzības likuma nosacījumiem un radušās, pamatojoties uz darba līgumu, kas noslēgts uz noteiktu laiku, vienošanos vai rīkojumu par papildu pienākumu veikšanu projekta īstenošanas laikā vai uz uzņēmuma līguma pamata, un ir nepieciešamas reformas un investīciju virziena mērķu un atskaites punktu sasniegšanai, un ko apliecina terminēto darba līgumu amatu aprakstu, uzņēmuma līgumu darba uzdevumu vai vienošanās par papildu pienākumu veikšanu saturs un papildu pienākumu veikšanas gadījumā – arī šo papildu pienākumu izpildei veltītā darba laika uzskaite;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ar projekta darbībām tieši saistīto projekta vadības un īstenošanas personāla komandējumu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projekta vadības un attīstāmo risinājumu arhitektūras izstrādes pakalpojumu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finansējuma saņēmējiem un sadarbības partneriem projekta aktivitāšu īstenošanai un vadīšanai nepieciešamās informācijas un komunikācijas tehnoloģiju aparatūras un iekārtu iegādes vai nomas, kā arī biroja aprīkojuma izmaksas, nepārsniedzot trīs procentus no projekta kopējām attiecināmajām izmaksām, kas izmantojamas projektā paredzēto darbību veikšanai, ko veic finansējuma saņēmējs un sadarbības partneris;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ar projekta darbībām tieši saistīto publicitātes un vizuālās identitātes pasākumu izmaksas, kas veiktas atbilstoši </w:t>
      </w:r>
      <w:r w:rsidR="00000000" w:rsidRPr="00000000" w:rsidDel="00000000">
        <w:rPr>
          <w:rtl w:val="0"/>
        </w:rPr>
        <w:t xml:space="preserve">regulas Nr. 2021/241</w:t>
      </w:r>
      <w:r w:rsidR="00000000" w:rsidRPr="00000000" w:rsidDel="00000000">
        <w:rPr>
          <w:rtl w:val="0"/>
        </w:rPr>
        <w:t xml:space="preserve"> 34. panta 2. punkta prasībām;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projekta rezultātu audita vai revīzijas izmaksas, ko veic finansējuma saņēmējs, neatkarīgs revidents vai iekšējais auditors, lai pārliecinātos par projekta ietvaros veikto izmaksu pamatotību, atskaites punktu un mērķu sasniegšanu un atbilstību investīcijas īstenošanas nosacījumiem, tai skaitā ka nav konstatējamas pazīmes par pieļautu interešu konflikta, dubultfinansējumu, korupcijas un krāpšanas situāciju projektā, kā arī sasniegto rezultātu atbilstību projektā plānotajam.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32.8. </w:t>
      </w:r>
      <w:r w:rsidR="00000000" w:rsidRPr="00000000" w:rsidDel="00000000">
        <w:rPr>
          <w:rtl w:val="0"/>
        </w:rPr>
        <w:t xml:space="preserve">apakšpunktā</w:t>
      </w:r>
      <w:r w:rsidR="00000000" w:rsidRPr="00000000" w:rsidDel="00000000">
        <w:rPr>
          <w:rtl w:val="0"/>
        </w:rPr>
        <w:t xml:space="preserve"> minētās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investīciju 2.1.1.1.i., 2.1.2.2.i. un 2.1.3.1.i projektos nepārsniedz 10 % no projekta kopējām attiecināmajām izmaksām;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investīcijas 2.1.2.1.i. projektos nepārsniedz 20 % no projekta kopējām attiecināmajām izmaksām, izņemot investīcijas 2.1.2.1.i. nolūka “Valsts pārvaldes IKT attīstības projektu programmu un arhitektūras pārvaldība” projektu, uz kuru šajā apakšpunktā paredzētais projekta īstenošanas personāla izmaksu proporcijas ierobežojums netiek attiecināts.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Nodokļa izmaksas finansējuma saņēmējiem vai to sadarbības partneriem, kas radušās, īstenojot projektā atbalstāmās darbības un ir saistītas ar attiecināmām izmaksām, tiek segtas atbilstoši šādiem nosacījumiem: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budžeta iestādes nodokli sedz no valsts budžeta līdzekļiem;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valstspilsētu un novadu pašvaldības finansējumu nodokļa segšanai var aizņemties Valsts kasē;</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atvasinātas publiskas personas, ja nodokli nevar atgūt, to sedz no valsts budžeta līdzekļiem;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publiskas personas kapitālsabiedrības, ja nodokli nevar atgūt, to sedz no valsts budžeta līdzekļiem, izņemot valstspilsētu un novadu pašvaldību kapitālsabiedrības, kas finansējumu nodokļa segšanai var aizņemties Valsts kasē;</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komersanti nodokli sedz no saviem privātajiem finanšu līdzekļiem vai cita piesaistīta finansējuma, kas nav Atveseļošanas fonda finansējums;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 biedrības veic valsts deleģētu funkciju un nodokli nevar atgūt, to sedz no valsts budžeta līdzekļiem.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Nodokļa izmaksas tiek segtas apmērā, kāds noteikts Ministru kabineta apstiprinātajā rīkojumā par projekta īstenošanu.</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K. Kariņš</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Vides aizsardzības un reģionālās attīstības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T. Plešs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22-TA-645</w:t>
    </w:r>
    <w:r>
      <w:br/>
    </w:r>
    <w:r w:rsidR="00000000" w:rsidRPr="00000000" w:rsidDel="00000000">
      <w:rPr>
        <w:rtl w:val="0"/>
      </w:rPr>
      <w:t xml:space="preserve">Izdrukāts 29.07.2026. 23.05 - 1.0.VK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22-TA-645</w:t>
    </w:r>
    <w:r>
      <w:br/>
    </w:r>
    <w:r w:rsidR="00000000" w:rsidRPr="00000000" w:rsidDel="00000000">
      <w:rPr>
        <w:rtl w:val="0"/>
      </w:rPr>
      <w:t xml:space="preserve">Izdrukāts 29.07.2026. 23.05 - 1.0.VK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noteikumu_projekts_22-TA-645.docx</dc:title>
</cp:coreProperties>
</file>

<file path=docProps/custom.xml><?xml version="1.0" encoding="utf-8"?>
<Properties xmlns="http://schemas.openxmlformats.org/officeDocument/2006/custom-properties" xmlns:vt="http://schemas.openxmlformats.org/officeDocument/2006/docPropsVTypes"/>
</file>