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Nacionālās drošības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Nacionālās drošības likumā (Latvijas Republikas Saeimas un Ministru Kabineta Ziņotājs, 2001, 3. nr.; 2002, 1., 12. nr.; 2003, 12., 23. nr.; 2004, 9. nr.; 2005, 2., 10., 11. nr.; 2006, 1., 14., 24. nr.; 2007, 9., 10., 16. nr.; 2008, 11. nr.; 2009, 2., 15. nr.; Latvijas Vēstnesis, 2010, 76. nr.; 2013, 61. nr.; 2014, 105., 114. nr.; 2016, 48., 249. nr.; 2017, 64., 106., 132. nr.; 2018, 204. nr.; 2021, 104.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18.</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Pilsonim, nepilsonim, personai, kurai Latvijas Republikā piešķirts bezvalstnieka vai alternatīvais statuss, bēglim, valsts, kas piemēro Šengenas </w:t>
      </w:r>
      <w:r w:rsidR="00000000" w:rsidRPr="00000000" w:rsidDel="00000000">
        <w:rPr>
          <w:i w:val="1"/>
          <w:rtl w:val="0"/>
        </w:rPr>
        <w:t xml:space="preserve">acquis</w:t>
      </w:r>
      <w:r w:rsidR="00000000" w:rsidRPr="00000000" w:rsidDel="00000000">
        <w:rPr>
          <w:rtl w:val="0"/>
        </w:rPr>
        <w:t xml:space="preserve"> nosacījumus, par personu brīvu pārvietošanos, valstspiederīgajam, kam Latvijas Republikā izsniegta uzturēšanās atļauja, kā arī citas valsts valstspiederīgajam, attiecībā uz ko nav iespējams pieņemt lēmumu par liegumu ieceļot Latvijas Republikā, ir aizliegts izceļot no Latvijas Republikas, ja iekšlietu ministrs ir pieņēmis lēmumu par aizliegumu tam izceļot no Latvijas Republikas.”.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18.</w:t>
      </w:r>
      <w:r w:rsidR="00000000" w:rsidRPr="00000000" w:rsidDel="00000000">
        <w:rPr>
          <w:vertAlign w:val="superscript"/>
          <w:rtl w:val="0"/>
        </w:rPr>
        <w:t xml:space="preserve">1</w:t>
      </w:r>
      <w:r w:rsidR="00000000" w:rsidRPr="00000000" w:rsidDel="00000000">
        <w:rPr>
          <w:rtl w:val="0"/>
        </w:rPr>
        <w:t xml:space="preserve"> panta otro daļu pēc vārdiem “plāno iesaistīties” ar vārdiem “vai savas neaizsargātības dēļ neapzinoties var tikt iesaistīta”.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18.</w:t>
      </w:r>
      <w:r w:rsidR="00000000" w:rsidRPr="00000000" w:rsidDel="00000000">
        <w:rPr>
          <w:vertAlign w:val="superscript"/>
          <w:rtl w:val="0"/>
        </w:rPr>
        <w:t xml:space="preserve">1</w:t>
      </w:r>
      <w:r w:rsidR="00000000" w:rsidRPr="00000000" w:rsidDel="00000000">
        <w:rPr>
          <w:rtl w:val="0"/>
        </w:rPr>
        <w:t xml:space="preserve">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Ziņu apjomu, kas par personu, par kuru pieņemts lēmums par liegumu izceļot no Latvijas Republikas, iekļaujams “Personu izceļošanas un izvešanas liegumu reģistrā”, iekļaušanas kārtību, glabāšanas termiņus, dzēšanas kārtību, institūcijas, kurām piešķirama piekļuve reģistrā iekļautajām ziņām,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datumā, ar kuru Eiropas Komisija noteiks Eiropas Parlamenta un Padomes 2018. gada 28.novembra Regulu (ES) 2018/1862 par Šengenas Informācijas sistēmas (SIS) izveidi, darbību un izmantošanu policijas sadarbībā un tiesu iestāžu sadarbībā krimināllietās un ar ko groza un atceļ Padomes Lēmumu 2007/533/TI un atceļ Eiropas Parlamenta un Padomes Regulu (EK) Nr.1986/2006 un Komisijas Lēmumu 2010/261/ES, par piemērojamu.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21-TA-1549</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21-TA-1549</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likumprojekts_(grozījumi)_21-TA-1549.docx</dc:title>
</cp:coreProperties>
</file>

<file path=docProps/custom.xml><?xml version="1.0" encoding="utf-8"?>
<Properties xmlns="http://schemas.openxmlformats.org/officeDocument/2006/custom-properties" xmlns:vt="http://schemas.openxmlformats.org/officeDocument/2006/docPropsVTypes"/>
</file>