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18. februārī (prot. Nr. 7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"Pelašķi" Līksnas pagastā, Augšdaugavas novadā, daļas pirkšanu valsts galvenā autoceļa A6 "Rīga–Daugavpils–Krāslava–Baltkrievijas robeža (Patarnieki)" posma 212,20.–223,90.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"Pelašķi" (nekustamā īpašuma kadastra Nr. 4468 005 0122) daļu – zemes vienību (zemes vienības kadastra apzīmējums 4468 005 0726) 0,27 ha platībā – Līksnas pagastā, Augšdaugavas novadā, kas nepieciešama valsts galvenā autoceļa A6 "Rīga–Daugavpils–Krāslava–Baltkrievijas robeža (Patarnieki)" posma 212,20.–223,90.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25-TA-119</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25-TA-119</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rīkojuma_projekts_25-TA-119.docx</dc:title>
</cp:coreProperties>
</file>

<file path=docProps/custom.xml><?xml version="1.0" encoding="utf-8"?>
<Properties xmlns="http://schemas.openxmlformats.org/officeDocument/2006/custom-properties" xmlns:vt="http://schemas.openxmlformats.org/officeDocument/2006/docPropsVTypes"/>
</file>