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Pievienotās vērtības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Pievienotās vērtības nodokļa likumā (Latvijas Vēstnesis, 2012, 197. nr.; 2013, 27., 194., 232., 237. nr.; 2014, 123. nr.; 2015, 42., 248., 251. nr.; 2016, 120., 241. nr.; 2017, 90., 156., 242. nr.; 2019, 118., 132., 248.A nr.; 2020, 204., 240.A nr.; 2021, 5.A, 234.A, 246. nr.; 2022, 36.A nr.; 2023, 226., 247. nr.; 2024,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42.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samazināto likmi piecu procentu apmērā piemēro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ja tās ir izdotas vai publicētas valsts valodā, latgaliešu rakstu valodā (vēsturiski veidojies latviešu valodas paveids) un Latvijas pirmiedzīvotāju – lībiešu – valodā, kā arī citu dalībvalstu, Eiropas Ekonomikas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Nodokļa samazināto likmi piecu procentu apmērā piemēro 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ja tās ir izdotas vai publicētas valsts valodā, latgaliešu rakstu valodā (vēsturiski veidojies latviešu valodas paveids) un Latvijas pirmiedzīvotāju – lībiešu – valodā, kā arī citu dalībvalstu, Eiropas Ekonomikas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sešpadsmito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Nodokļa samazināto likmi 12 procentu apmērā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pārtikas produktu piegādēm, kuri ir šā likuma pielikumā minētie svaigie augļi, ogas un dārzeņi, tostarp mazgāti, mizoti, lobīti, griezti un fasēti, bet nav apstrādāti termiski vai kā citādi (piemēram, saldēti, sālīti, kaltēti);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visu veidu maizes, svaiga, sterilizēta vai pasterizēta piena (izņemot ultrasterilizēta jeb sevišķi augstā temperatūrā sterilizēta piena), svaigas atdzesētas mājputnu (vistu, tītaru, pīļu, zosu, pērļu vistiņu, paipalu) gaļas un mājputnu svaigu olu (čaumalās) piegādēm."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48.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 Šā likuma 42. panta sešpadsmitās daļas 2. punkts ir piemērojams no 2026. gada 1. jūlija līdz 2027. gada 30. jūnijam."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25-TA-2272</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25-TA-2272</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likumprojekts_(grozījumi)_25-TA-2272.docx</dc:title>
</cp:coreProperties>
</file>

<file path=docProps/custom.xml><?xml version="1.0" encoding="utf-8"?>
<Properties xmlns="http://schemas.openxmlformats.org/officeDocument/2006/custom-properties" xmlns:vt="http://schemas.openxmlformats.org/officeDocument/2006/docPropsVTypes"/>
</file>