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martā (prot. Nr. 11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"Voldrahi"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"Voldrahi" (nekustamā īpašuma kadastra Nr. 4064 012 0089) daļu – zemes vienību (zemes vienības kadastra apzīmējums 4064 012 0359) 1,18 ha platībā, zemes vienību (zemes vienības kadastra apzīmējums 4064 012 0360) 0,28 ha platībā, zemes vienību (zemes vienības kadastra apzīmējums 4064 012 0361) 1,27 ha platībā un zemes vienību (zemes vienības kadastra apzīmējums 4064 012 0362) 0,51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23-TA-3311</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23-TA-3311</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rīkojuma_projekts_23-TA-3311.docx</dc:title>
</cp:coreProperties>
</file>

<file path=docProps/custom.xml><?xml version="1.0" encoding="utf-8"?>
<Properties xmlns="http://schemas.openxmlformats.org/officeDocument/2006/custom-properties" xmlns:vt="http://schemas.openxmlformats.org/officeDocument/2006/docPropsVTypes"/>
</file>