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267</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19. maijā (prot. Nr. 28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7. jūnija noteikumos Nr. 348 "Spiedieniekārtu un to kompleksu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atbilstības novērtēšanu" 7. panta pirmo un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2016. gada 7. jūnija noteikumos Nr. 348 "Spiedieniekārtu un to kompleksu noteikumi" (Latvijas Vēstnesis, 2016, 111.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noteikumus ar 2.28. un 2.29. apakšpunktu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"2.28. </w:t>
      </w:r>
      <w:r w:rsidR="00000000" w:rsidRPr="00000000" w:rsidDel="00000000">
        <w:rPr>
          <w:b w:val="1"/>
          <w:rtl w:val="0"/>
        </w:rPr>
        <w:t xml:space="preserve">krīzē būtiskas preces</w:t>
      </w:r>
      <w:r w:rsidR="00000000" w:rsidRPr="00000000" w:rsidDel="00000000">
        <w:rPr>
          <w:rtl w:val="0"/>
        </w:rPr>
        <w:t xml:space="preserve"> – Eiropas Parlamenta un Padomes 2024. gada 9. oktobra Regulas Nr. </w:t>
      </w:r>
      <w:r w:rsidR="00000000" w:rsidRPr="00000000" w:rsidDel="00000000">
        <w:rPr>
          <w:rtl w:val="0"/>
        </w:rPr>
        <w:t xml:space="preserve">2024/2747</w:t>
      </w:r>
      <w:r w:rsidR="00000000" w:rsidRPr="00000000" w:rsidDel="00000000">
        <w:rPr>
          <w:rtl w:val="0"/>
        </w:rPr>
        <w:t xml:space="preserve">, ar ko izveido pasākumu satvaru saistībā ar iekšējā tirgus ārkārtas situāciju un iekšējā tirgus noturību un groza Padomes Regulu (EK) Nr. 2679/98 (Iekšējā tirgus ārkārtas situācijas un noturības akts) (turpmāk – regula Nr. </w:t>
      </w:r>
      <w:r w:rsidR="00000000" w:rsidRPr="00000000" w:rsidDel="00000000">
        <w:rPr>
          <w:rtl w:val="0"/>
        </w:rPr>
        <w:t xml:space="preserve">2024/2747</w:t>
      </w:r>
      <w:r w:rsidR="00000000" w:rsidRPr="00000000" w:rsidDel="00000000">
        <w:rPr>
          <w:rtl w:val="0"/>
        </w:rPr>
        <w:t xml:space="preserve">), 3. panta 6. punktā definētās preces;</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2.29. </w:t>
      </w:r>
      <w:r w:rsidR="00000000" w:rsidRPr="00000000" w:rsidDel="00000000">
        <w:rPr>
          <w:b w:val="1"/>
          <w:rtl w:val="0"/>
        </w:rPr>
        <w:t xml:space="preserve">iekšējā tirgus ārkārtas situācijas režīms</w:t>
      </w:r>
      <w:r w:rsidR="00000000" w:rsidRPr="00000000" w:rsidDel="00000000">
        <w:rPr>
          <w:rtl w:val="0"/>
        </w:rPr>
        <w:t xml:space="preserve"> – regulas Nr. </w:t>
      </w:r>
      <w:r w:rsidR="00000000" w:rsidRPr="00000000" w:rsidDel="00000000">
        <w:rPr>
          <w:rtl w:val="0"/>
        </w:rPr>
        <w:t xml:space="preserve">2024/2747</w:t>
      </w:r>
      <w:r w:rsidR="00000000" w:rsidRPr="00000000" w:rsidDel="00000000">
        <w:rPr>
          <w:rtl w:val="0"/>
        </w:rPr>
        <w:t xml:space="preserve"> 3. panta 3. punktā definētais režīms.";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noteikumus aiz 4. nodaļas nosaukuma ar 4.1. apakšnodaļas nosaukumu šādā redakcijā: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4.1.</w:t>
      </w:r>
      <w:r w:rsidR="00000000" w:rsidRPr="00000000" w:rsidDel="00000000">
        <w:rPr>
          <w:rtl w:val="0"/>
        </w:rPr>
        <w:t xml:space="preserve"> </w:t>
      </w:r>
      <w:r w:rsidR="00000000" w:rsidRPr="00000000" w:rsidDel="00000000">
        <w:rPr>
          <w:b w:val="1"/>
          <w:rtl w:val="0"/>
        </w:rPr>
        <w:t xml:space="preserve">Vispārīgie pienākumi</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līdzšinējo 4.1. apakšnodaļas nosaukumu šādā redakcijā: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4.1.</w:t>
      </w:r>
      <w:r w:rsidR="00000000" w:rsidRPr="00000000" w:rsidDel="00000000">
        <w:rPr>
          <w:b w:val="1"/>
          <w:vertAlign w:val="superscript"/>
          <w:rtl w:val="0"/>
        </w:rPr>
        <w:t xml:space="preserve">1</w:t>
      </w:r>
      <w:r w:rsidR="00000000" w:rsidRPr="00000000" w:rsidDel="00000000">
        <w:rPr>
          <w:b w:val="1"/>
          <w:rtl w:val="0"/>
        </w:rPr>
        <w:t xml:space="preserve"> Ražotāja pienākumi</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noteikumus aiz 5. nodaļas nosaukuma ar 5.1.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5.1.</w:t>
      </w:r>
      <w:r w:rsidR="00000000" w:rsidRPr="00000000" w:rsidDel="00000000">
        <w:rPr>
          <w:rtl w:val="0"/>
        </w:rPr>
        <w:t xml:space="preserve"> </w:t>
      </w:r>
      <w:r w:rsidR="00000000" w:rsidRPr="00000000" w:rsidDel="00000000">
        <w:rPr>
          <w:b w:val="1"/>
          <w:rtl w:val="0"/>
        </w:rPr>
        <w:t xml:space="preserve">Atbilstības novērtēšanas kārtības attiecināmība</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līdzšinējo 5.1.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5.1.</w:t>
      </w:r>
      <w:r w:rsidR="00000000" w:rsidRPr="00000000" w:rsidDel="00000000">
        <w:rPr>
          <w:b w:val="1"/>
          <w:vertAlign w:val="superscript"/>
          <w:rtl w:val="0"/>
        </w:rPr>
        <w:t xml:space="preserve">1</w:t>
      </w:r>
      <w:r w:rsidR="00000000" w:rsidRPr="00000000" w:rsidDel="00000000">
        <w:rPr>
          <w:rtl w:val="0"/>
        </w:rPr>
        <w:t xml:space="preserve"> </w:t>
      </w:r>
      <w:r w:rsidR="00000000" w:rsidRPr="00000000" w:rsidDel="00000000">
        <w:rPr>
          <w:b w:val="1"/>
          <w:rtl w:val="0"/>
        </w:rPr>
        <w:t xml:space="preserve">Vispārīgās prasības</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387.7.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"387.7. nav izpildīta kāda cita šo noteikumu 4.1.</w:t>
      </w:r>
      <w:r w:rsidR="00000000" w:rsidRPr="00000000" w:rsidDel="00000000">
        <w:rPr>
          <w:vertAlign w:val="superscript"/>
          <w:rtl w:val="0"/>
        </w:rPr>
        <w:t xml:space="preserve">1</w:t>
      </w:r>
      <w:r w:rsidR="00000000" w:rsidRPr="00000000" w:rsidDel="00000000">
        <w:rPr>
          <w:rtl w:val="0"/>
        </w:rPr>
        <w:t xml:space="preserve"> un 4.3. apakšnodaļā minētā administratīva rakstura prasība.";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noteikumus ar 11.</w:t>
      </w:r>
      <w:r w:rsidR="00000000" w:rsidRPr="00000000" w:rsidDel="00000000">
        <w:rPr>
          <w:vertAlign w:val="superscript"/>
          <w:rtl w:val="0"/>
        </w:rPr>
        <w:t xml:space="preserve">1</w:t>
      </w:r>
      <w:r w:rsidR="00000000" w:rsidRPr="00000000" w:rsidDel="00000000">
        <w:rPr>
          <w:rtl w:val="0"/>
        </w:rPr>
        <w:t xml:space="preserve">, 11.</w:t>
      </w:r>
      <w:r w:rsidR="00000000" w:rsidRPr="00000000" w:rsidDel="00000000">
        <w:rPr>
          <w:vertAlign w:val="superscript"/>
          <w:rtl w:val="0"/>
        </w:rPr>
        <w:t xml:space="preserve">2 </w:t>
      </w:r>
      <w:r w:rsidR="00000000" w:rsidRPr="00000000" w:rsidDel="00000000">
        <w:rPr>
          <w:rtl w:val="0"/>
        </w:rPr>
        <w:t xml:space="preserve">un 11.</w:t>
      </w:r>
      <w:r w:rsidR="00000000" w:rsidRPr="00000000" w:rsidDel="00000000">
        <w:rPr>
          <w:vertAlign w:val="superscript"/>
          <w:rtl w:val="0"/>
        </w:rPr>
        <w:t xml:space="preserve">3</w:t>
      </w:r>
      <w:r w:rsidR="00000000" w:rsidRPr="00000000" w:rsidDel="00000000">
        <w:rPr>
          <w:rtl w:val="0"/>
        </w:rPr>
        <w:t xml:space="preserve"> nodaļu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11.</w:t>
      </w:r>
      <w:r w:rsidR="00000000" w:rsidRPr="00000000" w:rsidDel="00000000">
        <w:rPr>
          <w:b w:val="1"/>
          <w:vertAlign w:val="superscript"/>
          <w:rtl w:val="0"/>
        </w:rPr>
        <w:t xml:space="preserve">1</w:t>
      </w:r>
      <w:r w:rsidR="00000000" w:rsidRPr="00000000" w:rsidDel="00000000">
        <w:rPr>
          <w:b w:val="1"/>
          <w:rtl w:val="0"/>
        </w:rPr>
        <w:t xml:space="preserve"> Par krīzē būtiskām precēm</w:t>
      </w:r>
      <w:r w:rsidR="00000000" w:rsidRPr="00000000" w:rsidDel="00000000">
        <w:rPr>
          <w:b w:val="1"/>
          <w:rtl w:val="0"/>
        </w:rPr>
        <w:t xml:space="preserve"> atzītu spiedieniekārtu un to kompleksu atbilstības novērtēšana </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1</w:t>
      </w:r>
      <w:r w:rsidR="00000000" w:rsidRPr="00000000" w:rsidDel="00000000">
        <w:rPr>
          <w:rtl w:val="0"/>
        </w:rPr>
        <w:t xml:space="preserve"> Paziņotā institūcija prioritārā kārtā izskata pieteikumus par tādu spiedieniekārtu un to kompleksu atbilstības novērtēšanu, kas atzīti par krīzē būtiskām precēm.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2</w:t>
      </w:r>
      <w:r w:rsidR="00000000" w:rsidRPr="00000000" w:rsidDel="00000000">
        <w:rPr>
          <w:rtl w:val="0"/>
        </w:rPr>
        <w:t xml:space="preserve"> Paziņotā institūcija nerada nesamērīgas papildu izmaksas ražotājiem, kas prioritārā kārtā iesnieguši šo noteikumu 396.</w:t>
      </w:r>
      <w:r w:rsidR="00000000" w:rsidRPr="00000000" w:rsidDel="00000000">
        <w:rPr>
          <w:vertAlign w:val="superscript"/>
          <w:rtl w:val="0"/>
        </w:rPr>
        <w:t xml:space="preserve">1</w:t>
      </w:r>
      <w:r w:rsidR="00000000" w:rsidRPr="00000000" w:rsidDel="00000000">
        <w:rPr>
          <w:rtl w:val="0"/>
        </w:rPr>
        <w:t xml:space="preserve"> punktā minētos pieteikumus.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3</w:t>
      </w:r>
      <w:r w:rsidR="00000000" w:rsidRPr="00000000" w:rsidDel="00000000">
        <w:rPr>
          <w:rtl w:val="0"/>
        </w:rPr>
        <w:t xml:space="preserve"> Paziņotā institūcija iekšējā tirgus ārkārtas situācijas režīmā cenšas palielināt savas testēšanas iespējas attiecībā uz spiedieniekārtām un to kompleksiem, kas atzīti par krīzē būtiskām precēm un par kuriem tai ir paziņots.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2</w:t>
      </w:r>
      <w:r w:rsidR="00000000" w:rsidRPr="00000000" w:rsidDel="00000000">
        <w:rPr>
          <w:b w:val="1"/>
          <w:rtl w:val="0"/>
        </w:rPr>
        <w:t xml:space="preserve"> Krīzē būtiskajām precēm pieļaujamās atkāpes no atbilstības novērtēšanas procedūrām, kurās iesaistīta paziņotā institūcija</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4</w:t>
      </w:r>
      <w:r w:rsidR="00000000" w:rsidRPr="00000000" w:rsidDel="00000000">
        <w:rPr>
          <w:rtl w:val="0"/>
        </w:rPr>
        <w:t xml:space="preserve"> Tirgus uzraudzības iestāde pēc pamatota iesaistītās personas pieprasījuma var izsniegt atļauju, ar kuru tirgū var laist vai izmantot ražotāja vajadzībām konkrētu spiedieniekārtu un tās kompleksu, kam nav veiktas šo noteikumu 5. nodaļā minētās atbilstības novērtēšanas procedūras, ja ir apliecināta atbilstība šo noteikumu 3. nodaļā minētajām būtiskajām drošuma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5</w:t>
      </w:r>
      <w:r w:rsidR="00000000" w:rsidRPr="00000000" w:rsidDel="00000000">
        <w:rPr>
          <w:rtl w:val="0"/>
        </w:rPr>
        <w:t xml:space="preserve"> Tirgus uzraudzības iestāde ir tiesīga atzīt citas Eiropas Savienības dalībvalsts kompetentās valsts iestādes atļauju un tās derīgumu, pirms Eiropas Komisija ir pieņēmusi saistošu īstenošanas aktu.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6</w:t>
      </w:r>
      <w:r w:rsidR="00000000" w:rsidRPr="00000000" w:rsidDel="00000000">
        <w:rPr>
          <w:rtl w:val="0"/>
        </w:rPr>
        <w:t xml:space="preserve"> Tirgus uzraudzības iestāde nekavējoties informē Eiropas Komisiju un pārējās dalībvalstis par atļaujām, kas piešķirtas saskaņā ar šo noteikumu 396.</w:t>
      </w:r>
      <w:r w:rsidR="00000000" w:rsidRPr="00000000" w:rsidDel="00000000">
        <w:rPr>
          <w:vertAlign w:val="superscript"/>
          <w:rtl w:val="0"/>
        </w:rPr>
        <w:t xml:space="preserve">4</w:t>
      </w:r>
      <w:r w:rsidR="00000000" w:rsidRPr="00000000" w:rsidDel="00000000">
        <w:rPr>
          <w:rtl w:val="0"/>
        </w:rPr>
        <w:t xml:space="preserve"> un 396.</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7</w:t>
      </w:r>
      <w:r w:rsidR="00000000" w:rsidRPr="00000000" w:rsidDel="00000000">
        <w:rPr>
          <w:rtl w:val="0"/>
        </w:rPr>
        <w:t xml:space="preserve"> Uz spiedieniekārtām un to kompleksiem, ko saskaņā ar šo noteikumu 396.</w:t>
      </w:r>
      <w:r w:rsidR="00000000" w:rsidRPr="00000000" w:rsidDel="00000000">
        <w:rPr>
          <w:vertAlign w:val="superscript"/>
          <w:rtl w:val="0"/>
        </w:rPr>
        <w:t xml:space="preserve">4</w:t>
      </w:r>
      <w:r w:rsidR="00000000" w:rsidRPr="00000000" w:rsidDel="00000000">
        <w:rPr>
          <w:rtl w:val="0"/>
        </w:rPr>
        <w:t xml:space="preserve"> punktā minēto atkāpi atļauts laist tirgū vai izmantot ražotāja vajadzībām, izvieto norādi, ka tā ir krīzē būtiska prece. Norāde ir valsts valodā, tā ir skaidra un saprotama.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8</w:t>
      </w:r>
      <w:r w:rsidR="00000000" w:rsidRPr="00000000" w:rsidDel="00000000">
        <w:rPr>
          <w:rtl w:val="0"/>
        </w:rPr>
        <w:t xml:space="preserve"> Spiedieniekārtu un to kompleksu ražotāji, pamatojoties uz tehnisko dokumentāciju, apliecina, ka spiedieniekārtas un to kompleksi, kam piemēro šo noteikumu 396.</w:t>
      </w:r>
      <w:r w:rsidR="00000000" w:rsidRPr="00000000" w:rsidDel="00000000">
        <w:rPr>
          <w:vertAlign w:val="superscript"/>
          <w:rtl w:val="0"/>
        </w:rPr>
        <w:t xml:space="preserve">4</w:t>
      </w:r>
      <w:r w:rsidR="00000000" w:rsidRPr="00000000" w:rsidDel="00000000">
        <w:rPr>
          <w:rtl w:val="0"/>
        </w:rPr>
        <w:t xml:space="preserve"> punktā minēto atkāpi, atbilst visām šo noteikumu 3. nodaļā minētajām būtiskajām drošuma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9</w:t>
      </w:r>
      <w:r w:rsidR="00000000" w:rsidRPr="00000000" w:rsidDel="00000000">
        <w:rPr>
          <w:rtl w:val="0"/>
        </w:rPr>
        <w:t xml:space="preserve"> Tirgus uzraudzības iestāde atļaujā, kas izsniegta, pamatojoties uz šo noteikumu 396.</w:t>
      </w:r>
      <w:r w:rsidR="00000000" w:rsidRPr="00000000" w:rsidDel="00000000">
        <w:rPr>
          <w:vertAlign w:val="superscript"/>
          <w:rtl w:val="0"/>
        </w:rPr>
        <w:t xml:space="preserve">4</w:t>
      </w:r>
      <w:r w:rsidR="00000000" w:rsidRPr="00000000" w:rsidDel="00000000">
        <w:rPr>
          <w:rtl w:val="0"/>
        </w:rPr>
        <w:t xml:space="preserve"> punktu, norāda: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9</w:t>
      </w:r>
      <w:r w:rsidR="00000000" w:rsidRPr="00000000" w:rsidDel="00000000">
        <w:rPr>
          <w:rtl w:val="0"/>
        </w:rPr>
        <w:t xml:space="preserve">1. procedūru aprakstu, ar kurām pierādīta atbilstība šo noteikumu 3. nodaļā minētajām būtiskajām drošuma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9</w:t>
      </w:r>
      <w:r w:rsidR="00000000" w:rsidRPr="00000000" w:rsidDel="00000000">
        <w:rPr>
          <w:rtl w:val="0"/>
        </w:rPr>
        <w:t xml:space="preserve">2. īpašās prasības attiecībā uz konkrētās spiedieniekārtas un tās kompleksa izsekojamību;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9</w:t>
      </w:r>
      <w:r w:rsidR="00000000" w:rsidRPr="00000000" w:rsidDel="00000000">
        <w:rPr>
          <w:rtl w:val="0"/>
        </w:rPr>
        <w:t xml:space="preserve">3. atļaujas derīguma pēdējo dienu, kas nevar būt vēlāka par tā laikposma pēdējo dienu, kurā aktivizēts iekšējā tirgus ārkārtas situācijas režīms saskaņā ar regulas Nr. </w:t>
      </w:r>
      <w:r w:rsidR="00000000" w:rsidRPr="00000000" w:rsidDel="00000000">
        <w:rPr>
          <w:rtl w:val="0"/>
        </w:rPr>
        <w:t xml:space="preserve">2024/2747</w:t>
      </w:r>
      <w:r w:rsidR="00000000" w:rsidRPr="00000000" w:rsidDel="00000000">
        <w:rPr>
          <w:rtl w:val="0"/>
        </w:rPr>
        <w:t xml:space="preserve"> 18. pantu;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9</w:t>
      </w:r>
      <w:r w:rsidR="00000000" w:rsidRPr="00000000" w:rsidDel="00000000">
        <w:rPr>
          <w:rtl w:val="0"/>
        </w:rPr>
        <w:t xml:space="preserve">4. īpašās prasības, kas attiecas uz nepieciešamību nodrošināt nepārtrauktu konkrētās spiedieniekārtas un tās kompleksu atbilstības novērtēšanu;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9</w:t>
      </w:r>
      <w:r w:rsidR="00000000" w:rsidRPr="00000000" w:rsidDel="00000000">
        <w:rPr>
          <w:rtl w:val="0"/>
        </w:rPr>
        <w:t xml:space="preserve">5. pasākumus, kas jāveic attiecībā uz konkrēto tirgū laisto vai ražotāja paša vajadzībām izmantoto spiedieniekārtu un tās kompleksu pēc iekšējā tirgus ārkārtas situācijas režīma izbeigšanās vai deaktivizēšanas.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10 </w:t>
      </w:r>
      <w:r w:rsidR="00000000" w:rsidRPr="00000000" w:rsidDel="00000000">
        <w:rPr>
          <w:rtl w:val="0"/>
        </w:rPr>
        <w:t xml:space="preserve">Spiedieniekārtas un to kompleksi, kam piemēro šo noteikumu 396.</w:t>
      </w:r>
      <w:r w:rsidR="00000000" w:rsidRPr="00000000" w:rsidDel="00000000">
        <w:rPr>
          <w:vertAlign w:val="superscript"/>
          <w:rtl w:val="0"/>
        </w:rPr>
        <w:t xml:space="preserve">4</w:t>
      </w:r>
      <w:r w:rsidR="00000000" w:rsidRPr="00000000" w:rsidDel="00000000">
        <w:rPr>
          <w:rtl w:val="0"/>
        </w:rPr>
        <w:t xml:space="preserve"> punktā minēto atkāpi, netiek marķēti ar CE atbilstības marķējumu.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11</w:t>
      </w:r>
      <w:r w:rsidR="00000000" w:rsidRPr="00000000" w:rsidDel="00000000">
        <w:rPr>
          <w:rtl w:val="0"/>
        </w:rPr>
        <w:t xml:space="preserve"> Tirgus uzraudzības iestāde, ņemot vērā šo noteikumu 396.</w:t>
      </w:r>
      <w:r w:rsidR="00000000" w:rsidRPr="00000000" w:rsidDel="00000000">
        <w:rPr>
          <w:vertAlign w:val="superscript"/>
          <w:rtl w:val="0"/>
        </w:rPr>
        <w:t xml:space="preserve">4</w:t>
      </w:r>
      <w:r w:rsidR="00000000" w:rsidRPr="00000000" w:rsidDel="00000000">
        <w:rPr>
          <w:rtl w:val="0"/>
        </w:rPr>
        <w:t xml:space="preserve"> un 396.</w:t>
      </w:r>
      <w:r w:rsidR="00000000" w:rsidRPr="00000000" w:rsidDel="00000000">
        <w:rPr>
          <w:vertAlign w:val="superscript"/>
          <w:rtl w:val="0"/>
        </w:rPr>
        <w:t xml:space="preserve">5</w:t>
      </w:r>
      <w:r w:rsidR="00000000" w:rsidRPr="00000000" w:rsidDel="00000000">
        <w:rPr>
          <w:rtl w:val="0"/>
        </w:rPr>
        <w:t xml:space="preserve"> punktu, ir tiesīga spiedieniekārtām un to kompleksiem veikt visas korektīvās un ierobežojošās darbības, kas paredzētas Eiropas Parlamenta un Padomes 2019. gada 20. jūnija Regulā Nr. </w:t>
      </w:r>
      <w:r w:rsidR="00000000" w:rsidRPr="00000000" w:rsidDel="00000000">
        <w:rPr>
          <w:rtl w:val="0"/>
        </w:rPr>
        <w:t xml:space="preserve">2019/1020</w:t>
      </w:r>
      <w:r w:rsidR="00000000" w:rsidRPr="00000000" w:rsidDel="00000000">
        <w:rPr>
          <w:rtl w:val="0"/>
        </w:rPr>
        <w:t xml:space="preserve"> par tirgus uzraudzību un produktu atbilstību un ar ko groza Direktīvu 2004/42/EK un Regulas (EK) Nr. 765/2008 un (ES) Nr. 305/2011, un šajos noteikumos.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12</w:t>
      </w:r>
      <w:r w:rsidR="00000000" w:rsidRPr="00000000" w:rsidDel="00000000">
        <w:rPr>
          <w:rtl w:val="0"/>
        </w:rPr>
        <w:t xml:space="preserve"> Šo noteikumu 396.</w:t>
      </w:r>
      <w:r w:rsidR="00000000" w:rsidRPr="00000000" w:rsidDel="00000000">
        <w:rPr>
          <w:vertAlign w:val="superscript"/>
          <w:rtl w:val="0"/>
        </w:rPr>
        <w:t xml:space="preserve">4 </w:t>
      </w:r>
      <w:r w:rsidR="00000000" w:rsidRPr="00000000" w:rsidDel="00000000">
        <w:rPr>
          <w:rtl w:val="0"/>
        </w:rPr>
        <w:t xml:space="preserve">un 396.</w:t>
      </w:r>
      <w:r w:rsidR="00000000" w:rsidRPr="00000000" w:rsidDel="00000000">
        <w:rPr>
          <w:vertAlign w:val="superscript"/>
          <w:rtl w:val="0"/>
        </w:rPr>
        <w:t xml:space="preserve">5</w:t>
      </w:r>
      <w:r w:rsidR="00000000" w:rsidRPr="00000000" w:rsidDel="00000000">
        <w:rPr>
          <w:rtl w:val="0"/>
        </w:rPr>
        <w:t xml:space="preserve"> punktā minētās atļaujas piešķiršanas procedūra neietekmē šo noteikumu 5. nodaļā noteikto attiecīgo atbilstības novērtēšanas procedūru piemērošanu.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
</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b w:val="1"/>
          <w:rtl w:val="0"/>
        </w:rPr>
        <w:t xml:space="preserve">11.</w:t>
      </w:r>
      <w:r w:rsidR="00000000" w:rsidRPr="00000000" w:rsidDel="00000000">
        <w:rPr>
          <w:b w:val="1"/>
          <w:vertAlign w:val="superscript"/>
          <w:rtl w:val="0"/>
        </w:rPr>
        <w:t xml:space="preserve">3</w:t>
      </w:r>
      <w:r w:rsidR="00000000" w:rsidRPr="00000000" w:rsidDel="00000000">
        <w:rPr>
          <w:b w:val="1"/>
          <w:rtl w:val="0"/>
        </w:rPr>
        <w:t xml:space="preserve"> Atbilstības prezumpcija un tirgus uzraudzība spiedieniekārtām un to kompleksiem, kas atzīti par krīzē būtiskām precēm</w:t>
      </w:r>
      <w:r w:rsidR="00000000" w:rsidRPr="00000000" w:rsidDel="00000000">
        <w:rPr>
          <w:rtl w:val="0"/>
        </w:rPr>
        <w:t xml:space="preserve">
</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13</w:t>
      </w:r>
      <w:r w:rsidR="00000000" w:rsidRPr="00000000" w:rsidDel="00000000">
        <w:rPr>
          <w:rtl w:val="0"/>
        </w:rPr>
        <w:t xml:space="preserve"> Spiedieniekārtas un to kompleksi, ko Eiropas Komisija īstenošanas aktos atzinusi par krīzē būtiskām precēm, norādot piemērojamos standartus vai kopējas specifikācijas, atbilst šo noteikumu būtiskajām drošuma prasībām, uz kurām attiecas šie standarti, kopējās specifikācijas vai to daļas. Nākamajā dienā pēc iekšējā tirgus ārkārtas situācijas režīma izbeigšanās vai deaktivizēšanas ražotājiem vairs nav tiesību paļauties uz atbilstības prezumpciju, ko nodrošina Eiropas Komisijas īstenošanas aktos norādītie standarti vai kopējās specifikācijas.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14</w:t>
      </w:r>
      <w:r w:rsidR="00000000" w:rsidRPr="00000000" w:rsidDel="00000000">
        <w:rPr>
          <w:rtl w:val="0"/>
        </w:rPr>
        <w:t xml:space="preserve"> Ja vien nav pietiekama iemesla uzskatīt, ka spiedieniekārtas un to kompleksi, kas atbilst šo noteikumu 396.</w:t>
      </w:r>
      <w:r w:rsidR="00000000" w:rsidRPr="00000000" w:rsidDel="00000000">
        <w:rPr>
          <w:vertAlign w:val="superscript"/>
          <w:rtl w:val="0"/>
        </w:rPr>
        <w:t xml:space="preserve">13</w:t>
      </w:r>
      <w:r w:rsidR="00000000" w:rsidRPr="00000000" w:rsidDel="00000000">
        <w:rPr>
          <w:rtl w:val="0"/>
        </w:rPr>
        <w:t xml:space="preserve"> punktā minētajiem standartiem vai kopējām specifikācijām, rada risku cilvēku veselībai vai drošībai, tos atzīst par atbilstošiem šo noteikumu būtiskajām drošuma prasībām pēc iekšējā tirgus ārkārtas situācijas režīma izbeigšanas vai deaktivizēšanas.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w:t>
      </w:r>
      <w:r w:rsidR="00000000" w:rsidRPr="00000000" w:rsidDel="00000000">
        <w:rPr>
          <w:vertAlign w:val="superscript"/>
          <w:rtl w:val="0"/>
        </w:rPr>
        <w:t xml:space="preserve">15</w:t>
      </w:r>
      <w:r w:rsidR="00000000" w:rsidRPr="00000000" w:rsidDel="00000000">
        <w:rPr>
          <w:rtl w:val="0"/>
        </w:rPr>
        <w:t xml:space="preserve"> Tirgus uzraudzības iestādes prioritāri uzrauga spiedieniekārtas un to kompleksus, kas atzīti par krīzē būtisku preci.";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informatīvo atsauci uz Eiropas Savienības direktīvām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Noteikumos iekļautas tiesību normas, kas izriet no:</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 Eiropas Parlamenta un Padomes 2014. gada 15. maija Direktīvas </w:t>
      </w:r>
      <w:r w:rsidR="00000000" w:rsidRPr="00000000" w:rsidDel="00000000">
        <w:rPr>
          <w:rtl w:val="0"/>
        </w:rPr>
        <w:t xml:space="preserve">2014/68/ES</w:t>
      </w:r>
      <w:r w:rsidR="00000000" w:rsidRPr="00000000" w:rsidDel="00000000">
        <w:rPr>
          <w:rtl w:val="0"/>
        </w:rPr>
        <w:t xml:space="preserve"> par dalībvalstu tiesību aktu saskaņošanu attiecībā uz spiedieniekārtu pieejamību tirgū;</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 Eiropas Parlamenta un Padomes 2024. gada 9. oktobra Direktīvas </w:t>
      </w:r>
      <w:r w:rsidR="00000000" w:rsidRPr="00000000" w:rsidDel="00000000">
        <w:rPr>
          <w:rtl w:val="0"/>
        </w:rPr>
        <w:t xml:space="preserve">2024/2749</w:t>
      </w:r>
      <w:r w:rsidR="00000000" w:rsidRPr="00000000" w:rsidDel="00000000">
        <w:rPr>
          <w:rtl w:val="0"/>
        </w:rPr>
        <w:t xml:space="preserve">, ar ko groza Direktīvas 2000/14/EK, 2006/42/EK, 2010/35/ES, 2014/29/ES, 2014/30/ES, 2014/33/ES, 2014/34/ES, 2014/35/ES, 2014/53/ES un 2014/68/ES attiecībā uz iekšējā tirgus ārkārtas situācijas izraisītām atbilstības novērtēšanas, atbilstības prezumpcijas, kopēju specifikāciju pieņemšanas un tirgus uzraudzības ārkārtas procedūrām."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30. maijā.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 zemkopības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26-TA-331</w:t>
    </w:r>
    <w:r>
      <w:br/>
    </w:r>
    <w:r w:rsidR="00000000" w:rsidRPr="00000000" w:rsidDel="00000000">
      <w:rPr>
        <w:rtl w:val="0"/>
      </w:rPr>
      <w:t xml:space="preserve">Izdrukāts 29.07.2026. 23.25 - 1.0.VK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26-TA-331</w:t>
    </w:r>
    <w:r>
      <w:br/>
    </w:r>
    <w:r w:rsidR="00000000" w:rsidRPr="00000000" w:rsidDel="00000000">
      <w:rPr>
        <w:rtl w:val="0"/>
      </w:rPr>
      <w:t xml:space="preserve">Izdrukāts 29.07.2026. 23.25 - 1.0.VK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noteikumu_(grozījumu)_projekts_26-TA-331.docx</dc:title>
</cp:coreProperties>
</file>

<file path=docProps/custom.xml><?xml version="1.0" encoding="utf-8"?>
<Properties xmlns="http://schemas.openxmlformats.org/officeDocument/2006/custom-properties" xmlns:vt="http://schemas.openxmlformats.org/officeDocument/2006/docPropsVTypes"/>
</file>