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3.1.1.5.i investīcijas "Izglītības iestāžu infrastruktūras pilnveide un aprīkošana"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3.1.1. reformas "Administratīvi teritoriālā reforma" 3.1.1.5.i investīcijas "Izglītības iestāžu infrastruktūras pilnveide un aprīkošana" (turpmāk – investīcija)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investīcijai pieejamo Atveseļošanas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projektu iesniedzēju priekšatlasei un projektu iesniegumu atlasei;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īstenošanā iesaistītās institūcijas un to pienākumus.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19.03.2024. noteikumiem Nr. 181)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uzlabot vispārējās izglītības iestāžu mācību vidi, nodrošinot efektīvu resursu koncentrāciju un izmantošanu un stiprinot visaptveroša pašvaldību izglītības iestāžu tīkla sakārtošanas rezultātā izveidotās pamatskolas, tādējādi veicinot kvalitatīvas izglītības ieguvi ārpus novadu pašvaldību administratīvajiem centriem.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 reorganizētas pašvaldību dibinātas vispārējās izglītības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mērķi sasniedz, īstenojot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minētās atbalstāmās darbības un sasniedzot šādu mērķa rādītāju – līdz 2026. gada 17. augustam pilnveidota un aprīkota infrastruktūra 21 pašvaldību dibinātā vispārējās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investīcijas mērķa rādītāja sasniegšanu, līdz 2022. gada 30. jūnijam ir sasniedzams atskaites punkts – pašvaldību domju pieņemti lēmumi par vismaz 20 vispārējās vidējās izglītības iestāžu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Investīciju īsteno ar ierobežotu projektu iesniedzēju loku.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ietvaros nozares ministrijas funkcijas pilda Izglītības un zinātnes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ietvaros vienošanās par projektu īstenošanu slēdz Centrālā finanšu un līgumu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Investīcijai pieejamais Atveseļošanas fonda finansējums ir 31 890 739 </w:t>
      </w:r>
      <w:r w:rsidR="00000000" w:rsidRPr="00000000" w:rsidDel="00000000">
        <w:rPr>
          <w:i w:val="1"/>
          <w:rtl w:val="0"/>
        </w:rPr>
        <w:t xml:space="preserve">euro</w:t>
      </w:r>
      <w:r w:rsidR="00000000" w:rsidRPr="00000000" w:rsidDel="00000000">
        <w:rPr>
          <w:rtl w:val="0"/>
        </w:rPr>
        <w:t xml:space="preserve">, un tas finansējuma saņēmējiem tiek piešķirts granta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Projektu iesniedzēju priekšatlasi īsteno trijās kārtās ar šādu Atveseļošanas fonda finansējuma sadalījumu pa atlases kārtām: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projektu iesniedzēju priekšatlases kārtas ietvaros plānotais Atveseļošanas fonda finansējums ir 24 552 000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projektu iesniedzēju priekšatlases kārtas ietvaros plānotais Atveseļošanas fonda finansējums ir 4 403 243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projektu iesniedzēju priekšatlases kārtas ietvaros plānotais Atveseļošanas fonda finansējums ir 2 935 496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28.01.2025. noteikumu Nr. 71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projektu iesniedzēju priekšatlasei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Pirmajā projektu iesniedzēju priekšatlases kārtā piedalās pašvaldība, kas līdz 2023. gada 30. jūnijam pieņem un saskaņošanai nozares ministrijā iesniedz pašvaldības domes pieņemtus lēmumus par vispārējās vidējās izglītības iestāžu tīkla sakārtošanu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Otrajā projektu iesniedzēju priekšatlases kārtā piedalās pašvaldība, kas līdz 2024. gada 31. maijam pieņem un saskaņošanai nozares ministrijā iesniedz pašvaldības domes pieņemtus lēmumus par vispārējās vidējās izglītības iestāžu tīkla sakārtošanu atbilstoši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Trešajā projektu iesniedzēju priekšatlases kārtā piedalās pašvaldība, kas līdz 2025. gada 20. februārim pieņem lēmumu par vispārējās vidējās izglītības iestāžu tīkla sakārtošanu atbilstoši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minētajiem kritērijiem un pēc tam iesniedz minēto lēmumu saskaņošanai nozares ministrijā.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28.01.2025. noteikumu Nr. 71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minētajiem pašvaldību domju pieņemtajiem un ar nozares ministriju saskaņotajiem lēmumiem par vispārējās vidējās izglītības iestāžu tīkla sakārtošanu nozares ministrija organizē pirmo projektu iesniedzēju priekšatlases kārtu, izvērtējot pašvaldību atbilstību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kādā no šādiem gadījumiem: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izglītības informācijas sistēmas datiem uz 2022. gada 1. septembri vispārējās vidējās izglītības iestādē 10.–12. klašu grupā ir vismaz 60 izglītojamie;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skaita attiecība vispārējās vidējās izglītības iestādē pret vienu skolotāju ir 11 vai lielāka;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sniedz pierādījumos balstītu apliecinājumu, ka vispārējās vidējās izglītības iestādes atbilstība šo noteikumu </w:t>
      </w:r>
      <w:r w:rsidR="00000000" w:rsidRPr="00000000" w:rsidDel="00000000">
        <w:rPr>
          <w:rtl w:val="0"/>
        </w:rPr>
        <w:t xml:space="preserve">11.1.1.</w:t>
      </w:r>
      <w:r w:rsidR="00000000" w:rsidRPr="00000000" w:rsidDel="00000000">
        <w:rPr>
          <w:rtl w:val="0"/>
        </w:rPr>
        <w:t xml:space="preserve"> un </w:t>
      </w:r>
      <w:r w:rsidR="00000000" w:rsidRPr="00000000" w:rsidDel="00000000">
        <w:rPr>
          <w:rtl w:val="0"/>
        </w:rPr>
        <w:t xml:space="preserve">11.1.2.</w:t>
      </w:r>
      <w:r w:rsidR="00000000" w:rsidRPr="00000000" w:rsidDel="00000000">
        <w:rPr>
          <w:rtl w:val="0"/>
        </w:rPr>
        <w:t xml:space="preserve"> apakšpunktā</w:t>
      </w:r>
      <w:r w:rsidR="00000000" w:rsidRPr="00000000" w:rsidDel="00000000">
        <w:rPr>
          <w:rtl w:val="0"/>
        </w:rPr>
        <w:t xml:space="preserve"> minētajiem nosacījumiem tiks nodrošināta līdz 2025. gada 1. septembrim, tostarp veicot citu izglītības iestāžu reorganizāciju;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atbilstoši šo noteikumu </w:t>
      </w:r>
      <w:r w:rsidR="00000000" w:rsidRPr="00000000" w:rsidDel="00000000">
        <w:rPr>
          <w:rtl w:val="0"/>
        </w:rPr>
        <w:t xml:space="preserve">11.1.</w:t>
      </w:r>
      <w:r w:rsidR="00000000" w:rsidRPr="00000000" w:rsidDel="00000000">
        <w:rPr>
          <w:rtl w:val="0"/>
        </w:rPr>
        <w:t xml:space="preserve"> apakšpunktā</w:t>
      </w:r>
      <w:r w:rsidR="00000000" w:rsidRPr="00000000" w:rsidDel="00000000">
        <w:rPr>
          <w:rtl w:val="0"/>
        </w:rPr>
        <w:t xml:space="preserve"> minētajiem lēmumiem investīcijai prioritāri izvirza par pamatskolu reorganizētu vispārējās izglītības iestādi, kas atbilst kādam no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atrodas līdz 2021. gada 1. jūlijam reorganizētas pašvaldības administratīvajā centrā;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Valsts izglītības informācijas sistēmas datiem uz 2022. gada 1. septembri tai ir lielākais izglītojamo skaits 1.–9. klašu 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pēdējos piecos gados ir stabila pozitīva izglītojamo skaita dinamika 1.–6. klašu grupā.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pašvaldību domju pieņemtajiem un ar nozares ministriju saskaņotajiem lēmumiem par vispārējās vidējās izglītības iestāžu tīkla sakārtošanu nozares ministrija organizē otro projektu iesniedzēju priekšatlases kārtu, izvērtējot pašvaldību atbilstību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kādā no šādiem gadījumiem: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izglītības informācijas sistēmas datiem uz 2023. gada 1. septembri vispārējās vidējās izglītības iestādē 10.–12. klašu grupā ir vismaz 60 izglītojamie;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skaita attiecība vispārējās vidējās izglītības iestādē pret vienu skolotāju ir 11 vai lielāka;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sniedz pierādījumos balstītu apliecinājumu, ka vispārējās vidējās izglītības iestādes atbilstība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minētajiem nosacījumiem tiks nodrošināta līdz 2025. gada 1. septembrim, tostarp veicot citu izglītības iestāžu reorganizāciju;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atbilstoši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lēmumiem investīcijai prioritāri izvirza par pamatskolu reorganizētu vispārējās izglītības iestādi, kas atbilst kādam no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izglītības informācijas sistēmas datiem uz 2023. gada 1. septembri tai ir lielākais izglītojamo skaits 1.–9. klašu grupā;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atrodas līdz 2021. gada 1. jūlijam reorganizētas pašvaldības administratīvajā centrā;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pēdējos piecos gados ir stabila pozitīva izglītojamo skaita dinamika 1.–6. klašu grupā.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minētajiem pašvaldību domju pieņemtajiem un ar nozares ministriju saskaņotajiem lēmumiem par vispārējās vidējās izglītības iestāžu tīkla sakārtošanu nozares ministrija organizē trešo projektu iesniedzēju priekšatlases kārtu, izvērtējot pašvaldību atbilstību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bet Aizputes vidusskolā, Auces vidusskolā, Dagdas vidusskolā, Dundagas vidusskolā, Engures vidusskolā, Jaunpiebalgas vidusskolā, Kārsavas vidusskolā, Kaunatas vidusskolā, Nīcas vidusskolā, Rojas vidusskolā, Rūjienas vidusskolā, Salacgrīvas vidusskolā, Skaistkalnes vidusskolā, Vaiņodes vidusskolā, Viesītes vidusskolā vai Viļakas vidusskolā – vismaz 30 izglītojamie;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atbilstoši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minētajiem lēmumiem investīcijai prioritāri izvirza par pamatskolu reorganizētu vispārējās izglītības iestādi, kas atbilst kādam no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izglītības informācijas sistēmas datiem uz 2024. gada 1. septembri tai ir lielākais izglītojamo skaits 1.–9. klašu grupā;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atrodas līdz 2021. gada 1. jūlijam reorganizētas pašvaldības administratīvajā centrā;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pēdējos piecos gados ir stabila pozitīva izglītojamo skaita dinamika 1.–6. klašu grupā.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28.01.2025. noteikumu Nr. 71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minētajās priekšatlasēs ņem vērā pašvaldību domju lēmumus, ja tie pieņemti, sākot ar 2020. gada 1. februāri.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28.01.2025. noteikumu Nr. 71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Pirmajā projektu iesniedzēju priekšatlases kārtā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kritērijiem atbilstošas pašvaldību investīcijai izvirzītas izglītības iestādes tiek sakārtotas prioritārā secībā (dilstošā kārtībā) atbilstoši izglītības iestādes izglītojamo skaitam 1.–9. klašu grupā saskaņā ar Valsts izglītības informācijas sistēmas datiem uz 2022. gada 1. septembri (ne vairāk kā viena izglītības iestāde katrā pašvaldībā un ne vairāk kā četras izglītības iestādes katrā plānošanas reģionā).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Otrajā projektu iesniedzēju priekšatlases kārtā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kritērijiem atbilstošas pašvaldību investīcijai izvirzītas izglītības iestādes tiek sakārtotas šādā prioritārā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atrodas pašvaldībā, kas nav apstiprināta kā Atveseļošanas fonda projekta iesniedzējs investīcijas pirmās projektu iesniedzēju priekšatlases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vispārējās izglītības iestāde no katras pašvaldības dilstošā kārtībā atbilstoši izglītības iestādes izglītojamo skaitam 1.–9. klašu grupā saskaņā ar Valsts izglītības informācijas sistēmas datiem uz 2023. gada 1. septembri;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otrajā projektu iesniedzēju priekšatlases kārtā piedalās mazāk nekā piecas pašvaldības, tad investīcijai var izvirzīt vairāk nekā vienu vispārējās izglītības iestādi no katras pašvaldības, tostarp no pašvaldības, kas apstiprināta kā Atveseļošanas fonda projekta iesniedzējs investīcijas pirmās projektu iesniedzēju priekšatlases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Trešajā projektu iesniedzēju priekšatlases kārtā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minētajiem kritērijiem atbilstošas pašvaldību investīcijai izvirzītas izglītības iestādes tiek sakārtotas šādā prioritārā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atrodas pašvaldībā, kas nav apstiprināta kā Atveseļošanas fonda projekta iesniedzējs investīcijas pirmās vai otrās projektu iesniedzēju priekšatlases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vispārējās izglītības iestāde no katras pašvaldības dilstošā kārtībā atbilstoši izglītības iestādes izglītojamo skaitam 1.–9. klašu grupā saskaņā ar Valsts izglītības informācijas sistēmas datiem uz 2024. gada 1. septembri;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trešajā projektu iesniedzēju priekšatlases kārtā piedalās viena pašvaldība, tad tā investīcijai var izvirzīt papildu vienu vispārējās izglītības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28.01.2025. noteikumu Nr. 71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Pirmajā projektu iesniedzēju priekšatlases kārtā, ja kādā no plānošanas reģioniem investīcijai izvirzīto izglītības iestāžu skaits ir mazāks par četrām, atbrīvotā plānošanas reģiona kvota prioritāri tiek piešķirta pārējo plānošanas reģionu pašvaldībām, kas atbilstoši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minētajai kārtībai ir ārpus attiecīgā plānošanas reģiona kvotas (ja attiecināms). Ja ir vairākas šādas pašvaldības, prioritāri tiek ņemta vērā tā, kuras izvirzītās izglītības iestādes izglītojamo skaits 1.–9. klašu grupā ir lielāks saskaņā ar Valsts izglītības informācijas sistēmas datiem uz 2022. gada 1. septembri.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Pirmajā projektu iesniedzēju priekšatlases kārtā, ja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kritērijiem un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minētajai kārtībai atbilstošu pašvaldību skaits kopumā ir mazāks par 20, tās var izvirzīt citu atbilstoši šiem noteikumiem reorganizētu vispārējās izglītības iestādi. Šādas papildus izvirzītas vispārējās izglītības iestādes tiek sakārtotas prioritārā secībā (dilstošā kārtībā) atbilstoši izglītības iestādes izglītojamo skaitam 1.–9. klašu grupā saskaņā ar Valsts izglītības informācijas sistēmas datiem uz 2022. gada 1. septembri.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Nozares ministrija divu mēnešu laikā pēc pašvaldību izvērtēšanas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kritērijiem iesniedz Ministru kabinetā informāciju lēmuma pieņemšanai par priekšatlasē atlasītajām pašvaldībām, katrai pašvaldībai plānoto maksimālo Atveseļošanas fonda finansējumu un ne vairāk kā 20 investīcijai izvirzītajām izglītības iestādēm, kas sarindotas atbilstoši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un, ja attiecināms, šo noteikumu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Nozares ministrija mēneša laikā pēc pašvaldību izvērtēšanas atbilstoši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kritērijiem iesniedz Ministru kabinetā informāciju lēmuma pieņemšanai par priekšatlasē atlasītajām pašvaldībām, katrai pašvaldībai plānoto maksimālo Atveseļošanas fonda finansējumu un ne vairāk kā piecām investīcijai izvirzītajām izglītības iestādēm, kas sarindotas atbilstoši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Nozares ministrija mēneša laikā pēc pašvaldību izvērtēšanas atbilstoši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minētajiem kritērijiem iesniedz Ministru kabinetā informāciju lēmuma pieņemšanai par priekšatlasē atlasītajām pašvaldībām, katrai pašvaldībai plānoto maksimālo Atveseļošanas fonda finansējumu un ne vairāk kā divām investīcijai izvirzītajām izglītības iestādēm, kas sarindotas atbilstoši šo noteikumu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28.01.2025. noteikumu Nr. 71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Pirmajā projektu iesniedzēju priekšatlases kārtā katrai pašvaldībai maksimāli plānotais Atveseļošanas fonda finansējums tiek aprēķināts proporcionāli investīcijai izvirzītās izglītības iestādes izglītojamo skaitam 1.–9. klašu grupā saskaņā ar Valsts izglītības informācijas sistēmas datiem uz 2022. gada 1. septembri. Ja pašvaldība ir pieņēmusi lēmumus par visu ārpus pašvaldības administratīvā centra esošu vispārējās izglītības iestāžu reorganizāciju, tad, aprēķinot pašvaldībai pieejamo finansējumu, investīcijai izvirzītās vispārējās izglītības iestādes izglītojamo skaitam 1.–9. klašu grupā piemēro koeficientu 1,1. Atveseļošanas fonda finansējums vienai izglītības iestādei nepārsniedz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Otrajā projektu iesniedzēju priekšatlases kārtā katrai pašvaldībai maksimāli plānotais Atveseļošanas fonda finansējums tiek aprēķināts proporcionāli investīcijai izvirzītās izglītības iestādes izglītojamo skaitam 1.–9. klašu grupā saskaņā ar Valsts izglītības informācijas sistēmas datiem uz 2023. gada 1. septembri. Ja pašvaldība ir pieņēmusi lēmumus par visu ārpus pašvaldības administratīvā centra esošu vispārējās izglītības iestāžu reorganizāciju, tad, aprēķinot pašvaldībai pieejamo finansējumu, investīcijai izvirzītās vispārējās izglītības iestādes izglītojamo skaitam 1.–9. klašu grupā piemēro koeficientu 1,1. Atveseļošanas fonda finansējums vienai izglītības iestādei nepārsniedz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Trešajā projektu iesniedzēju priekšatlases kārtā katrai pašvaldībai maksimāli plānotais Atveseļošanas fonda finansējums tiek aprēķināts proporcionāli investīcijai izvirzītās izglītības iestādes izglītojamo skaitam 1.–9. klašu grupā saskaņā ar Valsts izglītības informācijas sistēmas datiem uz 2024. gada 1. septembri. Ja pašvaldība ir pieņēmusi lēmumus par visu ārpus pašvaldības administratīvā centra esošu vispārējās izglītības iestāžu reorganizāciju, tad, aprēķinot pašvaldībai pieejamo finansējumu, investīcijai izvirzītās vispārējās izglītības iestādes izglītojamo skaitam 1.–9. klašu grupā piemēro koeficientu 1,1. Atveseļošanas fonda finansējums vienai izglītības iestādei nepārsniedz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28.01.2025. noteikumu Nr. 71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Mēneša laikā pēc šo noteikumu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2 punktā</w:t>
      </w:r>
      <w:r w:rsidR="00000000" w:rsidRPr="00000000" w:rsidDel="00000000">
        <w:rPr>
          <w:rtl w:val="0"/>
        </w:rPr>
        <w:t xml:space="preserve"> minētā Ministru kabineta lēmuma pieņemšanas nozares ministrija nosūta Ministru kabineta lēmumā minētajām pašvaldībām (turpmāk – projekta iesniedzējs) uzaicinājumu sagatavot un iesniegt projekta iesniegumu Kohēzijas politikas fondu vadības informācijas sistēmā (turpmāk – vadības informācijas sistēma).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28.01.2025. noteikumu Nr. 71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Administratīvo teritoriju un apdzīvoto vietu likuma pārejas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minētās novadu pašvaldības Atveseļošanas fonda projekta īstenošanā sadarbojas ar to teritorijai blakus esošo valstspilsētu pašvaldībām, noslēdzot sadarbības līgumu par projekta īstenošanu (turpmāk – sadarbības projekts), ja saskaņā ar šo noteikumu </w:t>
      </w:r>
      <w:r w:rsidR="00000000" w:rsidRPr="00000000" w:rsidDel="00000000">
        <w:rPr>
          <w:rtl w:val="0"/>
        </w:rPr>
        <w:t xml:space="preserve">24.</w:t>
      </w:r>
      <w:r w:rsidR="00000000" w:rsidRPr="00000000" w:rsidDel="00000000">
        <w:rPr>
          <w:rtl w:val="0"/>
        </w:rPr>
        <w:t xml:space="preserve"> punktu</w:t>
      </w:r>
      <w:r w:rsidR="00000000" w:rsidRPr="00000000" w:rsidDel="00000000">
        <w:rPr>
          <w:rtl w:val="0"/>
        </w:rPr>
        <w:t xml:space="preserve"> Atveseļošanas fonda finansējums paredzēts arī valstspilsētas pašvaldības vispārējās izglītības iestādei. Šādā gadījumā valstspilsētas pašvaldības dome pieņem lēmumu par dalību sadarbības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Investīcijai izvirzītā izglītības iestāde darbību kā pamatskola uzsāk ne vēlāk kā 2026. gada 1. septembrī.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28.01.2025. noteikumu Nr. 71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ergonomiskas mācību vides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procesa nodrošināšanai paredzēta aprīkojuma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informācijas un publicitātes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atbalstāmo darbību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 ēkas pilna apjoma pārbūves vai ēkas piebūves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iestādes ēkas un telpu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telpu (klašu, kabinetu, auditoriju, laboratoriju), aktu zāles, bibliotēkas vai lasītavas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gaiteņu, kāpņu, tostarp evakuācijas kāpņu, un sanitāro mezglu pārbūves un atjaunošanas izmaksas, ja tiek īstenoti šo noteikumu </w:t>
      </w:r>
      <w:r w:rsidR="00000000" w:rsidRPr="00000000" w:rsidDel="00000000">
        <w:rPr>
          <w:rtl w:val="0"/>
        </w:rPr>
        <w:t xml:space="preserve">22.2.1.</w:t>
      </w:r>
      <w:r w:rsidR="00000000" w:rsidRPr="00000000" w:rsidDel="00000000">
        <w:rPr>
          <w:rtl w:val="0"/>
        </w:rPr>
        <w:t xml:space="preserve"> apakšpunktā</w:t>
      </w:r>
      <w:r w:rsidR="00000000" w:rsidRPr="00000000" w:rsidDel="00000000">
        <w:rPr>
          <w:rtl w:val="0"/>
        </w:rPr>
        <w:t xml:space="preserve"> minētie darbi;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iekšējo inženiertīklu (iekšējo elektrotīklu, apkures sistēmu, vēdināšanas un gaisa kondicionēšanas sistēmu, ūdensvada tīklu, kanalizācijas tīklu, balss apziņošanas, automātisko ugunsgrēka atklāšanas, trauksmes signalizācijas, automātiskās balss ugunsgrēka izziņošanas sistēmu, video novērošanas sistēmu, drošas iekļuves ēkā kontroles sistēmu) izbūves un pārbūves izmaksas. Minētās izmaksas plāno kā papildinošas šo noteikumu </w:t>
      </w:r>
      <w:r w:rsidR="00000000" w:rsidRPr="00000000" w:rsidDel="00000000">
        <w:rPr>
          <w:rtl w:val="0"/>
        </w:rPr>
        <w:t xml:space="preserve">22.2.1.</w:t>
      </w:r>
      <w:r w:rsidR="00000000" w:rsidRPr="00000000" w:rsidDel="00000000">
        <w:rPr>
          <w:rtl w:val="0"/>
        </w:rPr>
        <w:t xml:space="preserve"> un </w:t>
      </w:r>
      <w:r w:rsidR="00000000" w:rsidRPr="00000000" w:rsidDel="00000000">
        <w:rPr>
          <w:rtl w:val="0"/>
        </w:rPr>
        <w:t xml:space="preserve">22.2.2.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ergonomiskas mācību vides izveides izmaksas, tai skaitā mācību telpas aprīkojuma un mēbeļu iegādes, apgaismojuma modernizēšanas un trokšņu slāpētāju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vispārējās izglītības iestādes sporta laukuma, sporta zāles un to iekštelpu ģērbtuvju ar dušas telpām pārbūves, atjaunošanas un aprīkošanas izmaksas, kas nepārsniedz 20 procentus no projekta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būvprojekta (tai skaitā būvprojekta minimālās stadijas), būvdarbu ieceres dokumentācijas, paskaidrojuma raksta izstrādes vai aktualizēšanas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neatkarīgu būvekspertīžu veikšanas un tehniskās apsekošanas izmaksas, tai skaitā neatkarīgas būvprojekta ekspertīzes veikšanas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inovatīvu informācijas un komunikācijas tehnoloģiju risinājumu ieviešanas izmaksas, tai skaitā interneta, bezvadu interneta un augstas veiktspējas interneta tīkla pieslēguma izveides vai pārbūves izmaksas, mācību procesa nodrošināšanai nepieciešamā aprīkojuma un programmatūras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dabaszinātņu (ķīmija, bioloģija, fizika) mācību priekšmetu un mācību priekšmeta "Dizains un tehnoloģijas" tehnisko ierīču un aprīkojuma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informācijas un publicitātes pasākumu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19.03.2024. noteikumiem Nr. 181; MK 28.01.2025. noteikumiem Nr. 71)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kuras finansējuma saņēmējs norāda projekta iesniegumā un veic projekta ietvaros, nav attiecināmas finansēšanai no Atveseļošanas fonda finansējuma. Finansējuma saņēmējs pievienotās vērtības nodokļa izmaksas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kas saskaņā ar šiem noteikumiem nav noteiktas kā attiecināmās izmaksas, ir finansējamas ārpus projekta.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28.01.2025. noteikumu Nr. 71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Projektā pašvaldība līdz 40 procentiem no tai plānotā finansējuma var paredzēt mācību vides uzlabošanai, tai skaitā vispārējās izglītības iestādes ēkas kapacitātes palielināšanai, citā (tai skaitā novada pašvaldības administratīvajā centrā vai valstspilsētas pašvaldībā esošā) vispārējās vidējās izglītības iestādē (ja vispārējās izglītības iestāžu tīkla sakārtošanas rezultātā tajā paredzams izglītojamo skaita pieaugums) vai par pamatskolu reorganizētā vispārējās izglītības iestādē ārpus novada pašvaldības administratīvā centra (ar stabilu pozitīvu izglītojamo skaita dinamiku 1.–6. klašu grupā pēdējos piecos gados).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izmaksas ir attiecināmas, sākot ar 2020. gada 1. februāri, atbilstoši Eiropas Parlamenta un Padomes 2021. gada 12. februāra Regulas  </w:t>
      </w:r>
      <w:r w:rsidR="00000000" w:rsidRPr="00000000" w:rsidDel="00000000">
        <w:rPr>
          <w:rtl w:val="0"/>
        </w:rPr>
        <w:t xml:space="preserve">2021/241</w:t>
      </w:r>
      <w:r w:rsidR="00000000" w:rsidRPr="00000000" w:rsidDel="00000000">
        <w:rPr>
          <w:rtl w:val="0"/>
        </w:rPr>
        <w:t xml:space="preserve">, ar ko izveido Atveseļošanas un noturības mehānismu (turpmāk – regula  </w:t>
      </w:r>
      <w:r w:rsidR="00000000" w:rsidRPr="00000000" w:rsidDel="00000000">
        <w:rPr>
          <w:rtl w:val="0"/>
        </w:rPr>
        <w:t xml:space="preserve">2021/241</w:t>
      </w:r>
      <w:r w:rsidR="00000000" w:rsidRPr="00000000" w:rsidDel="00000000">
        <w:rPr>
          <w:rtl w:val="0"/>
        </w:rPr>
        <w:t xml:space="preserve">), 17. panta 2. punktam. Projektā nedrīkst būt iekļautas darbības, kas ir pabeigtas uz 2021. gada 13. jūliju – dienu, kad Atveseļošanas fonds apstiprināts Eiropas Komisijā un Eiropas Padomē.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Projektu iesniegumu atlase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Nozares ministrija saņemtos projektu iesniegumus vērtē atbilstoši šādiem iesniegumu vērtēšanas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iesniegšanas un atbalsta piešķiršanas brīdī uz projekta iesniedzēju nav attiecināms kāds no izslēgšanas kritērijiem, kas noteikti Eiropas Parlamenta un Padomes 2024. gada 23. septembra Regulas (ES, Euratom) 2024/2509 par finanšu noteikumiem, ko piemēro Savienības vispārējam budžetam, 138. panta 1. 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iesniegumā plānotās darbības atbilst projekta iesniedzēja un sadarbības partnera (ja attiecināms) pašvaldības attīstības programmas investīciju plānam;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mērķis atbilst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minētajam mērķim un projekta rezultāti ir precīzi definēti, pamatoti un izmērāmi un sekmē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mērķa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iesniegumā plānotās darbības un izmaksas atbilst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minētajām prasībām, un:</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ir saistītas ar projekta īstenošanu;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ir nepieciešamas projekta īstenošanai (projektā norādīto darbību īstenošanai, mērķa grupas vajadzību nodrošināšanai, definētās problēmas risināšanai);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ir vērstas uz regulas  </w:t>
      </w:r>
      <w:r w:rsidR="00000000" w:rsidRPr="00000000" w:rsidDel="00000000">
        <w:rPr>
          <w:rtl w:val="0"/>
        </w:rPr>
        <w:t xml:space="preserve">2021/241</w:t>
      </w:r>
      <w:r w:rsidR="00000000" w:rsidRPr="00000000" w:rsidDel="00000000">
        <w:rPr>
          <w:rtl w:val="0"/>
        </w:rPr>
        <w:t xml:space="preserve"> 5. panta 2. punktā un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w:t>
      </w:r>
      <w:r w:rsidR="00000000" w:rsidRPr="00000000" w:rsidDel="00000000">
        <w:rPr>
          <w:rtl w:val="0"/>
        </w:rPr>
        <w:t xml:space="preserve">2019/2088</w:t>
      </w:r>
      <w:r w:rsidR="00000000" w:rsidRPr="00000000" w:rsidDel="00000000">
        <w:rPr>
          <w:rtl w:val="0"/>
        </w:rPr>
        <w:t xml:space="preserve">, 17. pantā minētā principa "nenodari būtisku kaitējumu" vides mērķu sasniegšanu;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19.03.2024. noteikumiem Nr. 181)</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ir izsludināta iepirkuma procedūra par projektā plānotajiem būvdarbiem (attiecināms uz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minētajām novadu pašvaldībām);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iesniegumu ir parakstījusi paraksttiesīga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19.03.2024. noteikumiem Nr. 181; MK 28.01.2025. noteikumiem Nr. 71)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Nozares ministrija pieņem lēmumu par projekta iesnieguma apstiprināšanu, ja projekta iesniegums atbilst visiem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minētajiem projektu iesniegumu vērtēšanas kritērijiem, un informē projekta iesnieguma iesniedzēju un aģentūru par vienošanās par projekta īstenošanu slēgšanu.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projekta iesniegums neatbilst kādam no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minētajiem projektu iesniegumu vērtēšanas kritērijiem, nozares ministrija pieņem lēmumu uzdot projekta iesniedzējam veikt atbilstošus precizējumus vai papildinājumus. Projekta iesniedzējs projekta iesnieguma precizējumus vai papildinājumus iesniedz ne vairāk kā divas reizes.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iesniedzējs neveic projekta precizējumus vai papildinājumus atbilstoši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minētajai kārtībai, nozares ministrija pieņem lēmumu noraidīt projekta iesniegumu. Nozares ministrija var uzaicināt projekta iesniedzēju atkārtoti iesniegt projekta iesniegumu.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pēc projekta iesnieguma apstiprināšanas kļūst par finansējuma saņēmēju.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Investīcijas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minētajam lēmumam finansējuma saņēmējs un aģentūra noslēdz vienošanos par projekta īstenošanu. Tajā nosaka: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finansēšanas plāna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grafika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avansa, starpposma un noslēguma maksājuma pieprasījumu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kopumu, kas apliecina uz finansējuma saņēmēju attiecināmās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mērķa rādītāja daļas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apjomu un regularitāti, kādā informācija ievadāma vadības informācijas sistēmā (tai skaitā apjomu un regularitāti, kādā augšupielādējami nepieciešamie dokumenti, kas pamato noteikto atskaites punktu un mērķu sasniegšanu), kā arī atbildības sadalījumu starp aģentūru un finansējuma saņēmēju attiecībā uz informācijas ievadīšanu vadības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Grozījumus projektā izdara saskaņā ar vienošanos, kas noslēgta starp aģentūru un finansējuma saņēmēju.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Aģentūrai ir tiesības vienpusēji atkāpties no noslēgtās vienošanās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projekta gadījumā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minētie partneri noslēdz sadarbības līgumu, kurā iekļauj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mērķi un principi;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un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rezultātu sasniegšanas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finansējums un tā plānošana, katra sadarbības partnera projekta daļas finansējums un katra sadarbības partnera ieguldījums sadalījumā pa ieguldījumu veidiem;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finanšu plūsmas nodrošināšanas kārtība, tai skaitā izmaksātā avansa dzēšanas un atgūšanas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rezultātu izmantošanas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sankcijas, ko piemēro, ja netiek izpildītas sadarbības līgumā minētās saistības;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līguma darbības laiks, tā grozīšanas un izbeigšanas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īpašumu vai pamatlīdzekļu juridisko piederību un projekta īstenošanas rezultātā radīto vai iegādāto vērtību piederību, kā arī to uzturēšanas un izmantošanas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sadarbības partnera pienākumu izpildi sadarbības projekta īstenošanā un sadarbības partnera īstenotajām funkcijām projektā ir atbildīgs finansējuma saņēmējs.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Aģentūra projekta īstenošanas laikā un projekta dzīves cikla laikā (10 gadi) atbilstoši nozares ministrijas izstrādātajai papildinošas saimnieciskās darbības uzraudzības metodikai nodrošina papildinošas saimnieciskās darbības uzraudzību projekta uzlabotajai infrastruktūrai. Finansējuma saņēmējs projekta dzīves ciklā (10 gadi) katru gadu sagatavo pārskatu par papildinošas saimnieciskās darbības apjomu un nodrošina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minētais 20 procentu ierobežojums no infrastruktūras gada jaudas platības, laika vai finanšu izteiksmē vai projekta uzlabotā infrastruktūra tiek izmantota citai saimnieciskajai darbībai, kas nav uzskatāma par papildinošu saimniecisku darbību, tas saskaņā ar vienošanos par projekta īstenošanu iesniedz noteiktā termiņā aģentūrā ziņojumu par konstatēto pārkāpumu.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28.01.2025. noteikumu Nr. 71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projekta īstenošanas rezultātā attīstītajā infrastruktūrā projekta dzīves cikla laikā ir pieļaujams veikt papildinošu saimniecisko darbību 20 procentu apmērā no infrastruktūras gada jaudas platības, laika vai finanšu izteiksmē un ir pieļaujams sniegt papildpakalpojumus. Ar papildinošu saimniecisko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aģentūra konstatē, ka ir pārkāptas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minētās komercdarbības atbalsta kontroles normas, finansējuma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tos nav plānots finansēt vai līdzfinansēt no citiem valsts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korupcijas, krāpšanas un interešu konflikta riska neiestāšanos, kā arī dubultfinansējuma riska neiestāšanos un demarkāciju, ja projektā plānotajām darbībām ir sinerģija ar citu atbalsta instrumentu investīcijām;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sadārdzinājumu no saviem līdzekļiem, ja projekta izmaksas pieaug;</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ar projekta īstenošanu saistītās dokumentācijas glabāšanu ne mazāk kā piecus gadus pēc pēdējā maksājuma veikšanas dalībvalstij;</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ieguldījumi tiek veikti infrastruktūrā, kas ir finansējuma saņēmēja, sadarbības partnera vai valsts īpašumā, kas nodots finansējuma saņēmēja, sadarbības partnera vai attiecīgās izglītības iestādes valdījumā vai lietošanā uz termiņu, kas nav mazāks par pieciem gadiem pēc projekta īstenošanas pabeigšanas. Valdījuma vai lietošanas tiesības ir reģistrētas zemesgrāmatā;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kopīgo rādītāju "Jaunu vai modernizētu bērnu aprūpes un izglītības iestāžu klašu telpu ietilpība";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projekta īstenošanai nepieciešamie būvdarbi, preces un pakalpojumi tiek iegādāti atklātā, pārredzamā, nediskriminējošā un konkurenci nodrošinošā procedūrā saskaņā ar normatīvajiem aktiem iepirkuma procedūras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informācijas un publicitātes pasākumus saskaņā ar regulas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 pantu;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sniedz aģentūrai, nozares ministrijai un citām Atveseļošanas fonda uzraudzībā iesaistītajām institūcijām, tostarp arī institūcijām, kas minētas Eiropas Komisijas un Latvijas Republikas Atveseļošanas un noturības mehānisma finansēšanas nolīgumā, visu nepieciešamo informāciju saistībā ar projekta ieviešanu un investīcijas mērķa sasniegšanu, nodrošinot datu un informācijas pieejamību.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saskaņā ar normatīvajiem aktiem par Eiropas Savienības Atveseļošanas un noturības mehānisma plāna īstenošanas un uzraudzības kārtību uzkrāj maksājumu pieprasījumu, izdevumus un sasniegto rādītāju pamatojošo dokumentu datus un līdz kārtējā gada 10. janvārim un 10. jūlijam ievada tos vadības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un ne ilgāk kā līdz 2026. gada 17. augustam, ievērojot, ka aģentūra projekta noslēguma dokumentācijas pārbaudi un noslēguma maksājumu veic līdz 2026. gada 31. augustam.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Pēc vienošanās par projekta īstenošanu noslēgšanas aģentūra, pamatojoties uz finansējuma saņēmēja avansa pieprasījumu, nodrošina finansējuma saņēmējam avansa maksājumus, ievērojot, ka viens avansa maksājums nepārsniedz 30 procentus un avansa un starpposmu maksājumu kopsumma nepārsniedz 90 procentus no kopējā projektam piešķirtā Atveseļošanas fonda finansējuma. Maksājuma pieprasījumu piešķirtā avansa maksājuma apmērā finansējuma saņēmējs iesniedz aģentūrai saimnieciskā gada ietvaros, bet ne ilgāk kā sešu mēnešu laikā pēc avansa maksājuma saņemšanas.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būvdarbu veicējam vai piegādātājam var paredzēt avansa maksājumu līdz 30 procentiem no būvdarbu vai piegāžu līgumcenas. Finansējuma saņēmējs var veikt avansa maksājumu, ja būvdarbu veicējs vai piegādātājs tam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Aģentūra papildus normatīvajos aktos par Eiropas Savienības Atveseļošanas un noturības mehānisma plāna īstenošanas un uzraudzības kārtību noteiktajām funkcijām veic šādus pienākumus: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pārbaudes projekta īstenošanas vietā;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projekta izmaksu pamatotību;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projekta ieviešanas progresa pārbaudes.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Nozares ministrija papildus normatīvajos aktos par Eiropas Savienības Atveseļošanas un noturības mehānisma plāna īstenošanas un uzraudzības kārtību noteiktajām funkcijām pārbauda dokumentāciju, kas pamato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atskaites punkta sasniegšanu.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26-TA-231</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26-TA-231</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noteikumu_konsolidētā_versija_26-TA-231.docx</dc:title>
</cp:coreProperties>
</file>

<file path=docProps/custom.xml><?xml version="1.0" encoding="utf-8"?>
<Properties xmlns="http://schemas.openxmlformats.org/officeDocument/2006/custom-properties" xmlns:vt="http://schemas.openxmlformats.org/officeDocument/2006/docPropsVTypes"/>
</file>