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Ilgtspējas informācijas atklāšanas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Ilgtspējas informācijas atklāšanas likumā ( Latvijas Vēstnesis, 2024, 193. nr.; 2025, 196.nr.)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otrajā daļā vārdus "un "kaptīvās apdrošināšanas un kaptīvās pārapdrošināšanas sabiedrības"" un vārdus "jēdziens "pārvedami vērtspapīri ir iekļauti regulētajā tirgū" atbilst Finanšu instrumentu tirgus likumā lietotajam jēdzienam";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komercsabiedrībām, kuru neto apgrozījums bilances datumā pārsniedz 450 000 000 </w:t>
      </w:r>
      <w:r w:rsidR="00000000" w:rsidRPr="00000000" w:rsidDel="00000000">
        <w:rPr>
          <w:i w:val="1"/>
          <w:rtl w:val="0"/>
        </w:rPr>
        <w:t xml:space="preserve">euro</w:t>
      </w:r>
      <w:r w:rsidR="00000000" w:rsidRPr="00000000" w:rsidDel="00000000">
        <w:rPr>
          <w:rtl w:val="0"/>
        </w:rPr>
        <w:t xml:space="preserve"> un kuru vidējais darbinieku skaits pārskata gadā pārsniedz 1000, kā arī koncerna mātes sabiedrībām, kuru neto apgrozījums bilances datumā konsolidēti pārsniedz 450 000 000 </w:t>
      </w:r>
      <w:r w:rsidR="00000000" w:rsidRPr="00000000" w:rsidDel="00000000">
        <w:rPr>
          <w:i w:val="1"/>
          <w:rtl w:val="0"/>
        </w:rPr>
        <w:t xml:space="preserve">euro</w:t>
      </w:r>
      <w:r w:rsidR="00000000" w:rsidRPr="00000000" w:rsidDel="00000000">
        <w:rPr>
          <w:rtl w:val="0"/>
        </w:rPr>
        <w:t xml:space="preserve"> un kuru vidējais darbinieku skaits pārskata gadā pārsniedz 1000;";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meitas sabiedrībām, kuru galveno mātes sabiedrību reglamentē trešās valsts tiesību akti un kuru neto apgrozījums bilances datumā iepriekšējā pārskata gadā pārsniedz 200 000 000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4. punktā skaitli "40 000 000" ar skaitli "200 000 000" un skaitli "150 000 000" ar skaitli "450 000 000";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vārda "uz" ar vārdiem "Eiropas Finanšu stabilitātes instrumentu (EFSI), kas izveidots ar EFSI pamatnolīgumu";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skaitļus un vārdus "1., 2. un 3. punktā" ar skaitli un vārdu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piekto daļu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minētā trīs gadu pārejas perioda likuma subjekts informāciju par vērtību ķēdi sniedz, izmantojot informāciju, kas tieši iegūta no savas vērtību ķēdes sabiedrībām, vai attiecīgā gadījumā minētās informācijas aplēses.";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pirmajā un otrajā daļā minētajā informācijā likuma subjekts ir tiesīgs neiekļaut: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izņēmuma gadījumos informāciju, kuras atklāšana nopietni kaitētu likuma subjekta komerciālajam stāvoklim, ar noteikumu, ka ir izpildīti turpmāk minētie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šāda nesniegtā informācija neliedz gūt taisnīgu un līdzsvarotu izpratni par likuma subjekta attīstību, darbības rezultātiem un stāvokli vai par tā galvenajiem riskiem vai galveno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likuma subjekts ir konstatējis, ka nav iespējams atklāt informāciju tā, ka tā tam ļautu sasniegt informācijas atklāšanas prasības mērķus, nopietni nekaitējot tā komerciālajam stāvoklim, piemēram, apkopotā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likuma subjekts atklāj to, ka tas ir izmantojis šajā daļā noteikto izņēmumu, un katrā ziņojuma sniegšanas datumā atkārtoti novērtē, vai informāciju joprojām var nesniegt;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informāciju, kas atbilst intelektuālajam kapitālam, intelektuālajam īpašumam, zinātībai, tehnoloģijām vai inovācijas rezultātiem un ir kvalificējama kā komercnoslēpums saskaņā ar Komercnoslēpuma aizsardzības likumu, ja likuma subjekts ziņojumā norāda uz šī izņēmuma piemērošanu un katrā ziņojuma sniegšanas datumā atkārtoti novērtē, vai informāciju joprojām ir pamats nesniegt;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klasificētu informāciju Eiropas Parlamenta un Padomes 2023. gada 18. oktobra regulas (ES) 2023/2418, ar ko izveido instrumentu Eiropas aizsardzības industrijas pastiprināšanai, izmantojot kopīgu iepirkumu (EDIRPA) ( turpmāk  — Regula (ES) Nr. 2023/2418) 2. panta 7. punkta izpratnē, ja likuma subjekts ziņojumā norāda uz šī izņēmuma piemērošanu un katrā ziņojuma sniegšanas datumā atkārtoti novērtē, vai informāciju joprojām ir pamats nesniegt;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citu informāciju, kuras aizsardzību pret neatļautu piekļuvi vai atklāšanu paredz citi Eiropas Savienības vai valsts tiesību akti nolūkā aizsargāt fiziskas personas privātumu vai drošību vai juridiskas personas drošību, ja likuma subjekts ziņojumā norāda uz šī izņēmuma piemērošanu un katrā ziņojuma sniegšanas datumā atkārtoti novērtē, vai informāciju joprojām ir pamats nesniegt.";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desmito un vienpadsmito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divpadsmitajā daļā vārdus "astotajā, devītajā un desmitajā" ar vārdiem "astotajā un devītajā".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likumu ar 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pants. Ilgtspējas informācijas pieprasīšanas ierobežojumi vērtību ķēdē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 kurai saskaņā ar šā likuma 4. pantu ir pienākums sagatavot ilgtspējas ziņojumu (turpmāk — ziņojošā sabiedrība), var paļauties uz vērtību ķēdē iesaistītās sabiedrības pašdeklarāciju (apliecinājumu), lai noteiktu, vai tā ir sabiedrība, kuras vidējais darbinieku skaits bilances datumā nepārsniedz 1 000 pārskata gadā (turpmāk — aizsargātā sabiedrība). Ziņojošajai sabiedrībai nav pienākuma pārbaudīt pašdeklarācijā ietverto informāciju. Tomēr ziņojošā sabiedrība nevar paļauties uz pašdeklarāciju, ja tā zina vai tai ir pamatots pamats uzskatīt, ka pašdeklarācijā ietvertā informācija ir acīmredzami nepareiza.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Aizsargātajai sabiedrībai ir tiesības atteikties sniegt informāciju, kas pārsniedz Eiropas Komisijas pieņemtajos ilgtspējas ziņu sniegšanas standartos, kuru izmantošana ir brīvprātīga (turpmāk — brīvprātīgie standarti) noteikto informāciju, ja informācija tiek pieprasīta ilgtspējas ziņu sniegšanas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Piemērojot šā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ziņojošā sabiedrība, noslēdzot līgumus vai citas vienošanās, kas nepieciešamas šajā likumā noteikto ilgtspējas ziņu sniegšanas prasību izpildei, nepieprasa aizsargātajai sabiedrībai sniegt informāciju, kas pārsniedz brīvprātīgajos standartos noteikto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līguma noteikums, kas ir pretrunā šīs daļas 1. punktam, ir spēkā tiktāl, ciktāl tas paredz pienākumu sniegt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ziņojošā sabiedrība tieši vai netieši pieprasa aizsargātajai sabiedrībai sniegt informāciju ilgtspējas ziņošanas nolūkā un visa pieprasītā informācija vai tās daļa pārsniedz brīvprātīgajos standartos noteikto informāciju, ziņojošā sabiedrība informē aizsargāto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par to, kura pieprasītā informācija pārsniedz brīvprātīgajos standartos noteikto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par tās tiesībām atteikties sniegt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ziņojošā sabiedrība uzskatāma par izpildījušu šajā likumā noteiktās prasības attiecībā uz informācijas sniegšanu par vērtību ķēdi, ja tā nav saņēmusi no aizsargātās sabiedrības informāciju, kas pārsniedz brīvprātīgajos standartos noteikto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otrajā un trešajā daļā noteiktais: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neattiecas uz informācijas pieprasījumiem, kas tiek veikti nolūkos, kuri nav saistīti ar ilgtspējas ziņošanu saskaņā ar šo likumu, tai skaitā pieprasījumiem, kas nepieciešami pienācīgas rūpības pienākumu izpildei saskaņā ar Eiropas Savienības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nerada pienākumu vērtību ķēdē iesaistītai sabiedrībai sniegt ilgtspējas informāciju, ja šāds pienākums nav noteikts normatīvajos aktos.".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5. panta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pirmajā daļā noteikto atbrīvojumu piemēro arī sabiedrībai, kura ir sabiedriskas nozīmes struktūra.".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6. panta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pirmajā daļā noteikto atbrīvojumu piemēro arī sabiedrībai, kura ir sabiedriskas nozīmes struktūra.".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"Liela koncerna mātes sabiedrībai" ar vārdiem un skaitļiem "Šā likuma 3. panta pirmās daļas 1. punktā minētajai koncerna mātes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piekto daļu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minētā trīs gadu pārejas perioda likuma subjekts informāciju par vērtību ķēdi sniedz, izmantojot informāciju, kas tieši iegūta no savas vērtību ķēdes sabiedrībām, vai attiecīgā gadījumā minētās informācijas aplēses.";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pirmajā un otrajā daļā minētajā informācijā mātes sabiedrība ir tiesīga neiekļaut: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izņēmuma gadījumos informāciju, kuras atklāšana nopietni kaitētu koncerna komerciālajam stāvoklim, ar noteikumu, ka ir izpildīti turpmāk minētie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šāda nesniegtā informācija neliedz gūt taisnīgu un līdzsvarotu izpratni par koncerna attīstību, darbības rezultātiem un stāvokli vai par tā galvenajiem riskiem vai galveno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mātes sabiedrība ir konstatējusi, ka nav iespējams atklāt informāciju tā, ka tam ļautu sasniegt informācijas atklāšanas prasības mērķus, nopietni nekaitējot koncerna komerciālajam stāvoklim, piemēram, apkopotā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mātes sabiedrība atklāj, ka tā ir izmantojusi šajā daļā noteikto izņēmumu un katrā ziņojuma sniegšanas datumā atkārtoti novērtē, vai informāciju joprojām var nesniegt;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informāciju, kas atbilst intelektuālajam kapitālam, intelektuālajam īpašumam, zinātībai, tehnoloģijām vai inovācijas rezultātiem un ir kvalificējama kā komercnoslēpums saskaņā ar Komercnoslēpuma aizsardzības likumu, ja mātes sabiedrība ziņojumā norāda uz šī izņēmuma piemērošanu un katrā ziņojuma sniegšanas datumā atkārtoti novērtē, vai informāciju joprojām ir pamats nesniegt;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klasificētu informāciju Regulas (ES) Nr. 2023/2418 2. panta 7. punkta izpratnē, ja mātes sabiedrība ziņojumā norāda uz šī izņēmuma piemērošanu un katrā ziņojuma sniegšanas datumā atkārtoti novērtē, vai informāciju joprojām ir pamats nesniegt;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citu informāciju, kuras aizsardzību pret neatļautu piekļuvi vai atklāšanu paredz citi Eiropas Savienības vai valsts tiesību akti nolūkā aizsargāt fiziskas personas privātumu vai drošību vai juridiskas personas drošību, ja mātes sabiedrība ziņojumā norāda uz šī izņēmuma piemērošanu un katrā ziņojuma sniegšanas datumā atkārtoti novērtē, vai informāciju joprojām ir pamats nesniegt.";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trīspadsmito, četrpadsmito, piecpadsmito un sešpadsmito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Atkāpjoties no šā panta pirmajā daļā noteiktā, ja pārskata gada laikā sabiedrību iegādes vai apvienošanās dēļ ir mainījies koncerna sastāvs, mātes sabiedrība konsolidētajā vadības ziņojumā par attiecīgo pārskata gadu var neiekļaut šā panta pirmajā daļā minēto informāciju par iegādātajām vai apvienošanā iesaistītajām sabiedrībām, ja informācijas trūkuma dēļ to nav iespējams sagatavot. Mātes sabiedrība ziņojumā skaidri norāda, par kurām sabiedrībām informācija nav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Atkāpjoties no šā panta pirmajā daļā noteiktā, mātes sabiedrība konsolidētajā vadības ziņojumā var neiekļaut šā  panta pirmajā daļā minēto informāciju par jebkuru meitas sabiedrību, kura pārskata gada laikā izstājas no koncerna.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Mātes sabiedrība, kura izmanto šā panta trīspadsmitajā un četrpadsmitajā daļā noteiktās iespējas, konsolidētajā vadības ziņojumā norāda būtiskus notikumus un informāciju par ietekmi, riskiem un iespējām attiecībā uz ilgtspējas jautājumiem, kas pārskata gada laikā radušies saistībā ar attiecīgo meitas sabiedrību izmaiņām koncerna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Atkāpjoties no šā panta pirmajā daļā noteiktā, mātes sabiedrība, kas ir finanšu pārvaldītājsabiedrība un kuras meitas sabiedrību darbības modeļi un darbība ir savstarpēji neatkarīgi, var izvēlēties savā konsolidētajā vadības ziņojumā neiekļaut šā panta pirmajā daļā minēto informāciju.".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likumu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 </w:t>
      </w:r>
      <w:r w:rsidR="00000000" w:rsidRPr="00000000" w:rsidDel="00000000">
        <w:rPr>
          <w:rtl w:val="0"/>
        </w:rPr>
        <w:t xml:space="preserve">pants. Ilgtspējas informācijas pieprasīšanas ierobežojumi vērtību ķēdē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 kurai saskaņā ar šā likuma 7. pantu ir pienākums sagatavot ilgtspējas ziņojumu (turpmāk — ziņojošā sabiedrība), var paļauties uz vērtību ķēdē iesaistītās sabiedrības pašdeklarāciju (apliecinājumu), lai noteiktu, vai tā ir sabiedrība, kuras vidējais darbinieku skaits bilances datumā nepārsniedz 1 000 pārskata gadā (turpmāk — aizsargātā sabiedrība). Ziņojošajai sabiedrībai nav pienākuma pārbaudīt pašdeklarācijā ietverto informāciju. Tomēr ziņojošā sabiedrība nevar paļauties uz pašdeklarāciju, ja tā zina vai tai ir pamatots pamats uzskatīt, ka pašdeklarācijā ietvertā informācija ir acīmredzami nepareiza.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Aizsargātajai sabiedrībai ir tiesības atteikties sniegt informāciju, kas pārsniedz brīvprātīgajos standartos noteikto informāciju, ja informācija tiek pieprasīta ilgtspējas ziņu sniegšanas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Piemērojot šā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ziņojošā sabiedrība, noslēdzot līgumus vai citas vienošanās, kas nepieciešamas šajā likumā noteikto ilgtspējas ziņu sniegšanas prasību izpildei, nepieprasa aizsargātajai sabiedrībai sniegt informāciju, kas pārsniedz brīvprātīgajos standartos noteikto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līguma noteikums, kas ir pretrunā šīs daļas 1. punktam, ir spēkā tiktāl, ciktāl tas paredz pienākumu sniegt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ziņojošā sabiedrība tieši vai netieši pieprasa aizsargātajai sabiedrībai sniegt informāciju ilgtspējas ziņošanas nolūkā un visa pieprasītā informācija vai tās daļa pārsniedz brīvprātīgajos standartos noteikto informāciju, ziņojošā sabiedrība informē aizsargāto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par to, kura pieprasītā informācija pārsniedz brīvprātīgajos standartos noteikto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par tās tiesībām atteikties sniegt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ziņojošā sabiedrība uzskatāma par izpildījušu šajā likumā noteiktās prasības attiecībā uz informācijas sniegšanu par vērtību ķēdi, ja tā nav saņēmusi no aizsargātās sabiedrības informāciju, kas pārsniedz brīvprātīgajos standartos noteikto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otrajā un trešajā daļā noteiktais: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neattiecas uz informācijas pieprasījumiem, kas tiek veikti nolūkos, kuri nav saistīti ar ilgtspējas ziņošanu saskaņā ar šo likumu, tai skaitā pieprasījumiem, kas nepieciešami pienācīgas rūpības pienākumu izpildei saskaņā ar Eiropas Savienības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nerada pienākumu vērtību ķēdē iesaistītai sabiedrībai sniegt ilgtspējas informāciju, ja šāds pienākums nav noteikts normatīvajos aktos.".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Izteikt 8. panta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pirmajā daļā noteikto atbrīvojumu piemēro arī sabiedrībai, kura ir  sabiedriskas nozīmes struktūra."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Izteikt 9. panta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pirmajā daļā noteikto atbrīvojumu piemēro arī sabiedrībai, kura ir  sabiedriskas nozīmes struktūra."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Izteikt 10.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Ilgtspējas ziņojums un arī konsolidētais ilgtspējas ziņojums tiek sagatavots saskaņā ar šā likuma 4. un 7. pantā noteiktajām prasībām atbilstoši ar Eiropas Komisijas deleģētajiem aktiem pieņemtajiem ilgtspējas ziņu sniegšanas standartiem."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Izslēgt 11.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Papildināt likumu ar 11.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pants. Ilgtspējas ziņu sniegšanas standarti, kuru izmantošana ir brīvprātīga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Aizsargātā sabiedrība ilgtspējas informāciju sniedz ziņojošajai sabiedrībai, šajā likumā paredzētajiem nolūkiem, atbilstoši brīvprātīgajiem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 kura nav šā likuma subjekts, var sagatavot ilgtspējas informāciju brīvprātīgi, piemērojot brīvprātīgos standartus.".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Papildināt 12. panta pirmo un otro daļu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ar minēto deleģēto regulu nav pieņemti šādi noteikumi par iezīmēšanu, uzņēmumiem nav pienākuma iezīmēt savas ilgtspējas ziņas."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skaitli "150 000 000" ar skaitli "450 000 000";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Atkāpjoties no šā panta pirmajā daļā minētā, ja trešajā valstī reģistrētā mātes sabiedrība ir finanšu pārvaldītājsabiedrība, kuras meitas sabiedrības darbības modeļi un darbības ir savstarpēji neatkarīgi, trešās valsts sabiedrības meitas sabiedrība ir tiesīga nolemt nepublicēt un nedarīt pieejamu šā panta pirmajā un trešajā daļā minēto ilgtspējas ziņojumu."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Papildināt 14.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Atkāpjoties no šā panta pirmajā daļā minētā, ja trešajā valstī reģistrētā mātes sabiedrība ir finanšu pārvaldītājsabiedrība, kuras meitas sabiedrības darbības modeļi un darbības ir savstarpēji neatkarīgi, trešās valsts sabiedrības filiāle ir tiesīga nolemt nepublicēt un nedarīt pieejamu šā panta pirmajā un trešajā daļā minēto ilgtspējas ziņojumu."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Aizstāt 16. panta pirmās daļas 2. punktā vārdus un skaitli "iezīmēšanas (marķēšanas) prasību atbilstību šā likuma 12. pantam" ar vārdiem un skaitli "atbilstību prasībai iezīmēt (marķēt) ilgtspējas ziņojumu saskaņā ar šā likuma 12.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Papildināt 17. panta pirmo daļu pēc vārda "apliecinājumu" ar vārdiem "ciktāl šīs informācijas iegūšana atbilst šā likuma prasībām, tostarp ierobežojumiem attiecībā uz informācijas iegūšanu no vērtību ķēdes uzņēmumiem".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Lielai sabiedrībai, kura ir sabiedriskas nozīmes struktūra un kuras darbinieku skaits ir lielāks par 500, ir pienākums sagatavot šā likuma 4. pantā minēto ilgtspējas ziņojumu par 2024., 2025. un 2026. pārskata gadu (pārskata gadu, kurš sākas attiecīgi 2024. gada 1. janvārī vai 2024. kalendāra gada laikā, 2025. gada 1. janvārī vai 2025. kalendāra gada laikā un 2026. gada 1. janvārī vai 2026. kalendāra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Liela koncerna mātes sabiedrībai, kura ir sabiedriskas nozīmes struktūra un kuras darbinieku skaits ir lielāks par 500, ir pienākums sagatavot šā likuma 7. pantā minēto konsolidēto  ilgtspējas ziņojumu par 2024., 2025. un 2026. pārskata gadu (pārskata gadu, kurš sākas attiecīgi 2024. gada 1. janvārī vai 2024. kalendāra gada laikā, 2025. gada 1. janvārī vai 2025. kalendāra gada laikā un 2026. gada 1. janvārī vai 2026. kalendāra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7., 8., 9., 10., 11., 12. un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Šā likuma 3. panta pirmās daļas 1. punktā minētajam likuma subjektam ir pienākums sagatavot šā likuma 4. un 7. pantā minēto ilgtspējas ziņojumu, sākot ar 2027. pārskata gadu (pārskata gadu, kurš sākas 2027. gada 1. janvārī vai 2027. kalendāra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17.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Attiecībā uz pārskata gadu, kurš sākas 2026. gadā, šā likuma 4. un 7. panta prasības var nepiemērot šā likuma pārejas noteikumu 5. un 6. punktā minētā sabiedrība, kuras neto apgrozījums bilances datumā nepārsniedz 450 000 000 </w:t>
      </w:r>
      <w:r w:rsidR="00000000" w:rsidRPr="00000000" w:rsidDel="00000000">
        <w:rPr>
          <w:i w:val="1"/>
          <w:rtl w:val="0"/>
        </w:rPr>
        <w:t xml:space="preserve">euro</w:t>
      </w:r>
      <w:r w:rsidR="00000000" w:rsidRPr="00000000" w:rsidDel="00000000">
        <w:rPr>
          <w:rtl w:val="0"/>
        </w:rPr>
        <w:t xml:space="preserve"> un kuras vidējais darbinieku skaits pārskata gadā nepārsniedz 1 000."</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Papildināt informatīvo atsauci uz Eiropas Savienības direktīvām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2026. gada 24. februāra direktīvas (ES) 2026/470, ar ko groza Direktīvas 2006/43/EK, 2013/34/ES, (ES) 2022/2464 un (ES) 2024/1760 attiecībā uz konkrētām korporatīvās ilgtspējas ziņu sniegšanas prasībām un konkrētām korporatīvās ilgtspējas pienācīgas rūpības prasībām."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26-TA-1510</w:t>
    </w:r>
    <w:r>
      <w:br/>
    </w:r>
    <w:r w:rsidR="00000000" w:rsidRPr="00000000" w:rsidDel="00000000">
      <w:rPr>
        <w:rtl w:val="0"/>
      </w:rPr>
      <w:t xml:space="preserve">Izdrukāts 31.07.2026. 09.24 - 1.0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26-TA-1510</w:t>
    </w:r>
    <w:r>
      <w:br/>
    </w:r>
    <w:r w:rsidR="00000000" w:rsidRPr="00000000" w:rsidDel="00000000">
      <w:rPr>
        <w:rtl w:val="0"/>
      </w:rPr>
      <w:t xml:space="preserve">Izdrukāts 31.07.2026. 09.24 - 1.0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likumprojekts_(grozījumi)_26-TA-1510.docx</dc:title>
</cp:coreProperties>
</file>

<file path=docProps/custom.xml><?xml version="1.0" encoding="utf-8"?>
<Properties xmlns="http://schemas.openxmlformats.org/officeDocument/2006/custom-properties" xmlns:vt="http://schemas.openxmlformats.org/officeDocument/2006/docPropsVTypes"/>
</file>