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akcīzes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akcīzes nodokli" (Latvijas Republikas Saeimas un Ministru Kabineta Ziņotājs, 2003, 23. nr.; 2004, 8., 10. nr.; 2005, 2., 10., 24. nr.; 2007, 3., 24. nr.; 2008, 24. nr.; 2009, 2., 14., 21. nr.; Latvijas Vēstnesis, 2009, 200. nr.; 2010, 68., 136., 183., 206. nr.; 2011, 65., 204. nr.; 2013, 186., 232. nr.; 2014, 257. nr.; 2015, 97., 124., 248. nr.; 2016, 100., 241. nr.; 2017, 59., 156. nr.; 2018, 225. nr.; 2019, 118., 140., 224. nr.; 2020, 37., 40., 240A., 250. nr.; 2021, 214.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21. panta 4.</w:t>
      </w:r>
      <w:r w:rsidR="00000000" w:rsidRPr="00000000" w:rsidDel="00000000">
        <w:rPr>
          <w:vertAlign w:val="superscript"/>
          <w:rtl w:val="0"/>
        </w:rPr>
        <w:t xml:space="preserve">3</w:t>
      </w:r>
      <w:r w:rsidR="00000000" w:rsidRPr="00000000" w:rsidDel="00000000">
        <w:rPr>
          <w:rtl w:val="0"/>
        </w:rPr>
        <w:t xml:space="preserve"> daļas 1. punktā vārdu "septiņās" ar skaitli "30".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21. pantu ar 4.</w:t>
      </w:r>
      <w:r w:rsidR="00000000" w:rsidRPr="00000000" w:rsidDel="00000000">
        <w:rPr>
          <w:vertAlign w:val="superscript"/>
          <w:rtl w:val="0"/>
        </w:rPr>
        <w:t xml:space="preserve">6</w:t>
      </w:r>
      <w:r w:rsidR="00000000" w:rsidRPr="00000000" w:rsidDel="00000000">
        <w:rPr>
          <w:rtl w:val="0"/>
        </w:rPr>
        <w:t xml:space="preserve"> un 4.</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6</w:t>
      </w:r>
      <w:r w:rsidR="00000000" w:rsidRPr="00000000" w:rsidDel="00000000">
        <w:rPr>
          <w:rtl w:val="0"/>
        </w:rPr>
        <w:t xml:space="preserve">) Ministru kabinets nosaka gadījumus, kad uz autoceļa izveidotajā robežšķērsošanas vietā iesniedz akcīzes preču pārvietošanas paziņojumu par atsevišķām akcīzes precēm, kuras fiziskā persona pārvieto personīgajā bagāžā, kas par tādu uzskatāma regulas Nr. 1186/2009 41. panta izpratnē, kā arī par komerciālajā mehāniskajā transportlīdzeklī esošās degvielas apjomu, kas nepieciešams transportlīdzekļa darbības nodrošināšanai, kā arī kārtību, kādā aizpilda un iesniedz minēto paziņojumu, un paziņojumā norādāmās ziņas.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7</w:t>
      </w:r>
      <w:r w:rsidR="00000000" w:rsidRPr="00000000" w:rsidDel="00000000">
        <w:rPr>
          <w:rtl w:val="0"/>
        </w:rPr>
        <w:t xml:space="preserve">) Ministru kabinets nosaka gadījumus, kad komerciālā transportlīdzekļa vadītāju uzskata par pārvadātāja pārstāvi attiecībā uz atsevišķām akcīzes preču pārvietošanas paziņojumā norādāmajām ziņām."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142.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 Šā likuma 21. panta 4.</w:t>
      </w:r>
      <w:r w:rsidR="00000000" w:rsidRPr="00000000" w:rsidDel="00000000">
        <w:rPr>
          <w:vertAlign w:val="superscript"/>
          <w:rtl w:val="0"/>
        </w:rPr>
        <w:t xml:space="preserve">6</w:t>
      </w:r>
      <w:r w:rsidR="00000000" w:rsidRPr="00000000" w:rsidDel="00000000">
        <w:rPr>
          <w:rtl w:val="0"/>
        </w:rPr>
        <w:t xml:space="preserve"> un 4.</w:t>
      </w:r>
      <w:r w:rsidR="00000000" w:rsidRPr="00000000" w:rsidDel="00000000">
        <w:rPr>
          <w:vertAlign w:val="superscript"/>
          <w:rtl w:val="0"/>
        </w:rPr>
        <w:t xml:space="preserve">7</w:t>
      </w:r>
      <w:r w:rsidR="00000000" w:rsidRPr="00000000" w:rsidDel="00000000">
        <w:rPr>
          <w:rtl w:val="0"/>
        </w:rPr>
        <w:t xml:space="preserve"> daļa stājas spēkā 2022. gada 1. oktobrī."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22-TA-1610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22-TA-1610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likumprojekts_(grozījumi)_22-TA-1610.docx</dc:title>
</cp:coreProperties>
</file>

<file path=docProps/custom.xml><?xml version="1.0" encoding="utf-8"?>
<Properties xmlns="http://schemas.openxmlformats.org/officeDocument/2006/custom-properties" xmlns:vt="http://schemas.openxmlformats.org/officeDocument/2006/docPropsVTypes"/>
</file>