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iesniedzēju atbilstības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Valsts izglītības informācijas sistēmas datiem uz 2024. gada 1. septembri pašvaldību dibinātā vispārējās izglītības iestāde nodrošina vismaz šādu izglītojamo skaitu katrā klašu grupā atbilstoši pašvaldību administratīvi teritoriālā iedalījuma vienībām (šo noteikumu </w:t>
      </w:r>
      <w:r w:rsidR="00000000" w:rsidRPr="00000000" w:rsidDel="00000000">
        <w:rPr>
          <w:rtl w:val="0"/>
        </w:rPr>
        <w:t xml:space="preserve">2. pielikums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izglītības iestādēs, kas atrodas 1. un 2. grupas pašvaldību administratīvi teritoriālā iedalījuma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1.–3. klašu grupā – 120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4.–6. klašu grupā – 120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7.–9. klašu grupā – 120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10.–12. klašu grupā– 120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izglītības iestādēs, kas atrodas 3. grupas pašvaldību administratīvi teritoriālā iedalījuma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1.–3. klašu grupā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4.–6. klašu grupā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7.–9. klašu grupā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10.–12. klašu grupā – 120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iestādēs, kas atrodas 4. un 5. grupas pašvaldību administratīvi teritoriālā iedalījuma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1.–3.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4.–6.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7.–9. klašu grupā – 45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10.–12. klašu grupā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iestādēs, kas atrodas 6. un 7. grupas pašvaldību administratīvi teritoriālā iedalījuma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1.–3.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4.–6.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7.–9.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10.–12. klašu grupā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izglītības iestādēs, kas atrodas 8. grupas pašvaldību administratīvi teritoriālā iedalījuma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1.–3.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4.–6.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7.–9.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10–12. klašu grupā – 45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Izglītojamo skaitam, kas noteikts šā pielikuma 1.1.–1.4. apakšpunktā, ir pieļaujamas šādas svārstības: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1.–3. un 4.–6. klašu grupās var būt 25 % izglītojamo skaita svārstības no noteiktā izglītojamo skaita (noapaļojot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7.–9. un 10.–12. klašu grupās var būt 10 % izglītojamo skaita svārstības no noteiktā izglītojamo skaita (noapaļojot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Prasības, kas noteiktas šā pielikuma 1. punktā, nav attiecināmas uz tām izglītības iestādēm, kuras nevar šīs prasības izpildīt: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ievērojot Ministru kabineta noteikumos noteiktās higiēnas prasības attiecībā uz minimālo platību viena izglītojamā 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ievērojot uzsāktu izglītības iestādes reorganizāciju par pakāpenisku izglītības pakāpes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īstenojot speciālās izglītības programmas vai iekļaujot vismaz 50% no izglītojamajiem ar speciālās izglītības programmām vispārizglītojošās klasēs;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ievērojot noteikto pārejas periodu, ko pašvaldība ir noteikusi pēc pieņemtajiem domes lēmumiem par vispārēju izglītības iestāžu tīkla optimizēšanu. Šādos gadījumos pašvaldība priekšatlases ietvaros iesniedz pierādījumos balstītu apliecinājumu, ka vispārējās izglītības iestādes atbilstība šo noteikumu </w:t>
      </w:r>
      <w:r w:rsidR="00000000" w:rsidRPr="00000000" w:rsidDel="00000000">
        <w:rPr>
          <w:rtl w:val="0"/>
        </w:rPr>
        <w:t xml:space="preserve">1.</w:t>
      </w:r>
      <w:r w:rsidR="00000000" w:rsidRPr="00000000" w:rsidDel="00000000">
        <w:rPr>
          <w:rtl w:val="0"/>
        </w:rPr>
        <w:t xml:space="preserve"> pielikuma 1.1.–</w:t>
      </w:r>
      <w:r w:rsidR="00000000" w:rsidRPr="00000000" w:rsidDel="00000000">
        <w:rPr>
          <w:rtl w:val="0"/>
        </w:rPr>
        <w:t xml:space="preserve">1.5.</w:t>
      </w:r>
      <w:r w:rsidR="00000000" w:rsidRPr="00000000" w:rsidDel="00000000">
        <w:rPr>
          <w:rtl w:val="0"/>
        </w:rPr>
        <w:t xml:space="preserve"> apakšpunktā minētajiem kritērijiem tiks nodrošināta līdz 2027. 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ievērojot nosacījumu, ka pašvaldība ir saņēmusi VSIA "Latvijas Valsts ceļi" atzinumu par izglītības iestādes piekļuves ceļu pieejamību, stāvokli, plānotajiem uzlabošanas darbiem vai citiem apstākļiem, ar ko pamato šā pielikuma 1. punktā minēto kritēriju izpildes neiespējamību līdz 2027.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Aizputes vidusskola, Auces vidusskola, Dagdas vidusskola, Dundagas vidusskola, Engures vidusskola, Gulbenes novada vidusskola, Jaunpiebalgas vidusskola, Kārsavas vidusskola, Kaunatas vidusskola, Mazzalves pamatskola, Nīcas vidusskola, Pāvilostas pamatskola, Rojas vidusskola, Rūjienas vidusskola, Salacgrīvas vidusskola, Skaistkalnes vidusskola, Smiltenes vidusskola, Tilžas pamatskola, Vaiņodes vidusskola, Valkas Jāņa Cimzes ģimnāzija, Viesītes vidusskola, Viļakas vidusskola </w:t>
      </w:r>
      <w:r w:rsidR="00000000" w:rsidRPr="00000000" w:rsidDel="00000000">
        <w:rPr>
          <w:rtl w:val="0"/>
        </w:rPr>
        <w:t xml:space="preserve">saskaņā ar Valsts izglītības informācijas sistēmas datiem uz 2024. gada 1. septembri nodrošina ne mazāk kā šādu izglītojamo skaitu katrā klašu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1.–3.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4.–6.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7.–9. klašu grupā – 15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10.–12. klašu grupā – 30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Pašvaldību dibinātas vispārējās izglītības iestādes, kas īsteno: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vispārējās izglītības programmas, pamatojoties uz Latvijas Republikas divpusēju vai daudzpusēju starptautisku līgumu, nodrošina šā pielikuma 1.4.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neklātienes un tālmācības izglītības programmas, nodrošina šā pielikuma 1.1.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Pašvaldībai, kura ir pieņēmusi lēmumus par vispārējās izglītības iestāžu reorganizāciju un kurai vispārējās izglītības iestāžu tīklā  ir viena izglītības iestāde, kas neatbilst šo noteikumu </w:t>
      </w:r>
      <w:r w:rsidR="00000000" w:rsidRPr="00000000" w:rsidDel="00000000">
        <w:rPr>
          <w:rtl w:val="0"/>
        </w:rPr>
        <w:t xml:space="preserve">1.</w:t>
      </w:r>
      <w:r w:rsidR="00000000" w:rsidRPr="00000000" w:rsidDel="00000000">
        <w:rPr>
          <w:rtl w:val="0"/>
        </w:rPr>
        <w:t xml:space="preserve"> pielikumā minētajiem kritērijiem, piemēro pārejas periodu. Minētā pašvaldība uzskatāma par atbilstošu projekta iesniedzēju atbilstības kritērijiem, ja pašvaldība iesniedz pierādījumos balstītu apliecinājumu par  izglītojamo skaita pieaugumu līdz 2027./2028. mācību gada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25-TA-765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25-TA-765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noteikumu_konsolidētā_versija_p1_25-TA-765.docx</dc:title>
</cp:coreProperties>
</file>

<file path=docProps/custom.xml><?xml version="1.0" encoding="utf-8"?>
<Properties xmlns="http://schemas.openxmlformats.org/officeDocument/2006/custom-properties" xmlns:vt="http://schemas.openxmlformats.org/officeDocument/2006/docPropsVTypes"/>
</file>