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343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10. jūnijā (prot. Nr. 23 16.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2002. gada 23. aprīļa noteikumos Nr. 165 "Apdrošināšanas periodu pierādīšanas, aprēķināšanas un uzskaites kārtība"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likuma "</w:t>
      </w:r>
      <w:r w:rsidR="00000000" w:rsidRPr="00000000" w:rsidDel="00000000">
        <w:rPr>
          <w:rStyle w:val="paragraph"/>
          <w:i w:val="1"/>
          <w:rtl w:val="0"/>
        </w:rPr>
        <w:t xml:space="preserve">Par valsts pensijām</w:t>
      </w:r>
      <w:r w:rsidR="00000000" w:rsidRPr="00000000" w:rsidDel="00000000">
        <w:rPr>
          <w:rStyle w:val="paragraph"/>
          <w:i w:val="1"/>
          <w:rtl w:val="0"/>
        </w:rPr>
        <w:t xml:space="preserve">" pārejas noteikumu 2.1 punktu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2002. gada 23. aprīļa noteikumos Nr. 165 "Apdrošināšanas periodu pierādīšanas, aprēķināšanas un uzskaites kārtība" (Latvijas Vēstnesis, 2002, 64. nr.; 2003, 106. nr.; 2005, 72. nr.; 2007, 165. nr.; 2008, 34. nr.; 2014, 16. nr.; 2019, 37.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noteikumu nosaukumu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jc w:val="center"/>
        <w:contextualSpacing w:val="0"/>
        <w:spacing w:before="0"/>
        <w:rPr>
          <w:u w:val="none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"Apdrošināšanas periodu aprēķināšanas, pierādīšanas un uzskaites kārtība, kā arī šo periodu aprēķināšanas nosacījumi".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 Noteikumi nosaka likuma "Par valsts pensijām" pārejas noteikumu 1. un 2. punktā noteikto apdrošināšanas periodu aprēķināšanas, pierādīšanas un uzskaites kārtību, kā arī šo periodu aprēķināšanas nosacījumus."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Labklājības ministra pienākumu izpildītājs ‒ ekonomikas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 Valainis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25-TA-1134</w:t>
    </w:r>
    <w:r>
      <w:br/>
    </w:r>
    <w:r w:rsidR="00000000" w:rsidRPr="00000000" w:rsidDel="00000000">
      <w:rPr>
        <w:rtl w:val="0"/>
      </w:rPr>
      <w:t xml:space="preserve">Izdrukāts 29.07.2026. 23.48 - 1.0.VK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25-TA-1134</w:t>
    </w:r>
    <w:r>
      <w:br/>
    </w:r>
    <w:r w:rsidR="00000000" w:rsidRPr="00000000" w:rsidDel="00000000">
      <w:rPr>
        <w:rtl w:val="0"/>
      </w:rPr>
      <w:t xml:space="preserve">Izdrukāts 29.07.2026. 23.48 - 1.0.VK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noteikumu_(grozījumu)_projekts_25-TA-1134.docx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