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92.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(turpmāk – specifiskais atbalsta mērķis) 4.1.2.7. pasākumu "Pilnveidot pacientu drošību un aprūpes kvalitāti"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projekta iesnieguma atlasi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pilnveidot pacientu drošību un aprūpes kvalitāti kvalitatīvai veselības aprūpes pakalpojuma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ārstniecības iestādes un visi Latvijas Republikas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nacionālais rādītājs ir ārstniecības iestāžu skaits, kurās tiks pilnveidota pacientu drošība un aprūpes kvalitāte kvalitatīvai veselības aprūpes pakalpojuma nodrošināšanai, – 41 ārstniecības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Pasākumam plānotais un pieejamais kopējais finansējums ir 3 045 000 </w:t>
      </w:r>
      <w:r w:rsidR="00000000" w:rsidRPr="00000000" w:rsidDel="00000000">
        <w:rPr>
          <w:i w:val="1"/>
          <w:rtl w:val="0"/>
        </w:rPr>
        <w:t xml:space="preserve">euro</w:t>
      </w:r>
      <w:r w:rsidR="00000000" w:rsidRPr="00000000" w:rsidDel="00000000">
        <w:rPr>
          <w:rtl w:val="0"/>
        </w:rPr>
        <w:t xml:space="preserve">, tai skaitā Eiropas Sociālā fonda Plus finansējums – 2 588 250 </w:t>
      </w:r>
      <w:r w:rsidR="00000000" w:rsidRPr="00000000" w:rsidDel="00000000">
        <w:rPr>
          <w:i w:val="1"/>
          <w:rtl w:val="0"/>
        </w:rPr>
        <w:t xml:space="preserve">euro</w:t>
      </w:r>
      <w:r w:rsidR="00000000" w:rsidRPr="00000000" w:rsidDel="00000000">
        <w:rPr>
          <w:rtl w:val="0"/>
        </w:rPr>
        <w:t xml:space="preserve"> un valsts budžeta līdzfinansējums – 456 750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Eiropas Sociālā fonda Plus finansējuma apmērs nepārsniedz 85 procentus no projekta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par 2024. gada 1. janvāri.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projekta iesnieguma atlasi izsludina vienu reizi par visu pasākumam pieejamo finansējumu.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projekta iesniedzējs, kas pēc projekta iesnieguma apstiprināšanas kļūst par finansējuma saņēmēju, ir vadošā valsts pārvaldes iestāde veselības nozarē, kas izstrādā, organizē un uzrauga valsts politiku sabiedrības veselības jomā, – Veselības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Projekta iesniegumam pievieno projekta iesniedzēja parakstītu apliecinājumu par interešu konflikta neesību atbilstoši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klīnisko kvalitātes indikatoru, klīnisko pacientu ceļu un atbilstoši starptautiski atzītām vadlīnijām profesionāļu izstrādātu klīnisko algoritmu izstrāde, aktualizēšana, ieviešana un uzraudzība;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aprūpes personāla zināšanu un prasmju pilnveidošana pacientu drošības un veselības aprūpes kvalitātes vadības jautājumos;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pacientu un veselības aprūpes personāla pieredzes uzlabošana par saņemtajiem veselības aprūpes pakalpojumiem;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pacientu aprūpes nepārtrauktības un aprūpes kvalitātes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darbības ietvaros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20 procentu apmērā no šo noteikumu </w:t>
      </w:r>
      <w:r w:rsidR="00000000" w:rsidRPr="00000000" w:rsidDel="00000000">
        <w:rPr>
          <w:rtl w:val="0"/>
        </w:rPr>
        <w:t xml:space="preserve">19.2.</w:t>
      </w:r>
      <w:r w:rsidR="00000000" w:rsidRPr="00000000" w:rsidDel="00000000">
        <w:rPr>
          <w:rtl w:val="0"/>
        </w:rPr>
        <w:t xml:space="preserve"> apakšpunktā minētajām projekta pārējām tiešajām attiecināmajām īstenošanas izmaksām. Minētās atbalstāmās darbības ietvaros ir attiecināmas finansējuma saņēmēja projekta vadības personāla un īstenošanas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minētās darbības ietver šādas attiecināmo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metodisko materiālu, pētījumu, vadlīniju, aptauju un citu atbalstāmo darbību īstenošanai nepieciešamo dokumentu izstrādes un aktualizēšanas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organizēšanas un īstenošanas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konsultantu, ekspertu un citu kvalitātes vadības sistēmas ieviešanai nepieciešamo pakalpojumu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 semināru, konferenču un sabiedrības informēšanas pasākumu organizēšanas un īstenošanas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subtitrēšanas un reāllaika transkripcijas pakalpojumu izmaksas, jomas konsultantu izmaksas, pandusu nomas, indukcijas cilpu nomas, zīmju valodas tulku un vieglās valodas tulkošanas pakalpojumu izmaksas), ja tās ir nepieciešamas vides un informācijas piekļūstamības nodrošināšanai.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15.6.</w:t>
      </w:r>
      <w:r w:rsidR="00000000" w:rsidRPr="00000000" w:rsidDel="00000000">
        <w:rPr>
          <w:rtl w:val="0"/>
        </w:rPr>
        <w:t xml:space="preserve"> apakšpunktā minētā darbība ietver ar projekta darbībām tieši saistīto publicitātes pasākumu izmaksas šo noteikumu </w:t>
      </w:r>
      <w:r w:rsidR="00000000" w:rsidRPr="00000000" w:rsidDel="00000000">
        <w:rPr>
          <w:rtl w:val="0"/>
        </w:rPr>
        <w:t xml:space="preserve">23.3.</w:t>
      </w:r>
      <w:r w:rsidR="00000000" w:rsidRPr="00000000" w:rsidDel="00000000">
        <w:rPr>
          <w:rtl w:val="0"/>
        </w:rPr>
        <w:t xml:space="preserve"> apakšpunktā minēto prasību izpildei.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minētās izmaksas veido projekta tiešās attiecināmās izmaksas, tai skaitā: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 minētās izmaksas veido projekta tiešās attiecināmās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minētās izmaksas veido projekta pārējās tiešās attiecināmās īstenošanas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minēto darbību īstenošanai ir attiecināmas projekta netiešās attiecināmās izmaksas, ko projekta iesniegumā plāno kā vienu izmaksu pozīciju, piemērojot netiešo izmaksu vienoto likmi 15 procentu apmērā no šo noteikumu </w:t>
      </w:r>
      <w:r w:rsidR="00000000" w:rsidRPr="00000000" w:rsidDel="00000000">
        <w:rPr>
          <w:rtl w:val="0"/>
        </w:rPr>
        <w:t xml:space="preserve">16.</w:t>
      </w:r>
      <w:r w:rsidR="00000000" w:rsidRPr="00000000" w:rsidDel="00000000">
        <w:rPr>
          <w:rtl w:val="0"/>
        </w:rPr>
        <w:t xml:space="preserve"> punktā minētajām projekta tiešajām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2021/1060 64. panta 1. punkta "c" apakšpunktā ietvertajiem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finansējuma saņēmējs izveido projekta vadības un uzraudzības darba grupu, kuras sastāvā pieaicina atbildīgās iestādes pārstāvi (novērotāja statusā) un kuras sanāksmes tiek organizētas pēc nepieciešamības, bet ne retāk kā reizi gadā.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iepirkumi, kas nepieciešami atbalstāmo darbību īstenošanai, tiek veikti kā sociāli atbildīgi iepirkumi, ievērojot publiskā iepirkuma procedūru regulējošos normatīvos aktus un īstenojot atklātu, pārredzamu, nediskriminējošu un konkurenci nodrošinošu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iekšējās kontroles sistēmu korupcijas un interešu konflikta riska novēršanai publiskas personas institūcijā atbilstoši normatīvajiem aktiem par iekšējās kontroles sistēmas pamatprasībām korupcijas un interešu konflikta riska novēršanai publiskas personas institūcijā;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komunikācijas un vizuālās identitātes nosacījumu ievērošanu atbilstoši regulas 2021/1060 47. un 50. pantam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plānotie darbi netiek finansēti vai līdzfinansēti un nav plānots tos finansēt vai līdzfinansēt no citiem valsts vai ārvalstu finanšu atbalsta instrumentiem, un novērš dubultā finansējuma risku;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šādus datus: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horizontālā principa "Vienlīdzība, iekļaušana, nediskriminācija un pamattiesību ievērošana" darbībām –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projekta dalībniekiem, kuri uzskaitāmi atbilstoši Eiropas Parlamenta un Padomes 2021. gada 24. jūnija Regulas (ES) 2021/1057, ar ko izveido Eiropas Sociālo fondu Plus (ESF+) un atceļ Regulu (ES) Nr. 1296/2013, I pielikumam un normatīvā akta par Eiropas Savienības fondu projektu pārbaužu veikšanas kārtību 2021.–2027. gada plānošanas periodā 1. pielikumam, ja persona piedalās ārstniecības un ārstniecības atbalsta personāla izglītošanas pasākumā pacientu drošības un veselības aprūpes kvalitātes vadības jautājumos;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 zaļais publiskais iepirkums, kā arī izvērtē inovatīva publiskā iepirkuma nosacījumu piemērošanu.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kas noslēgta starp finansējuma saņēmēju un sadarbības iestādi, ne ilgāk kā līdz 2029.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23-TA-2242</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23-TA-2242</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noteikumu_projekts_23-TA-2242.docx</dc:title>
</cp:coreProperties>
</file>

<file path=docProps/custom.xml><?xml version="1.0" encoding="utf-8"?>
<Properties xmlns="http://schemas.openxmlformats.org/officeDocument/2006/custom-properties" xmlns:vt="http://schemas.openxmlformats.org/officeDocument/2006/docPropsVTypes"/>
</file>