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140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22. februārī (prot. Nr. 9 32.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2020. gada 14. jūlija noteikumos Nr. 458 "Noteikumi par kapitāla ieguldījumiem komersantos, kuru darbību ietekmējusi Covid-19 izplatība"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Attīstības finanšu institūcijas likuma</w:t>
      </w:r>
      <w:r>
        <w:br/>
      </w:r>
      <w:r w:rsidR="00000000" w:rsidRPr="00000000" w:rsidDel="00000000">
        <w:rPr>
          <w:rStyle w:val="paragraph"/>
          <w:i w:val="1"/>
          <w:rtl w:val="0"/>
        </w:rPr>
        <w:t xml:space="preserve">12. panta ceturto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Izdarīt Ministru kabineta 2020. gada 14. jūlija noteikumos Nr. 458 "Noteikumi par kapitāla ieguldījumiem komersantos, kuru darbību ietekmējusi Covid-19 izplatība" (Latvijas Vēstnesis, 2020, 136. nr.; 2021, 27., 200.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25.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 Fonda veikto ieguldījumu kopsumma vienā komersantā nedrīkst pārsniegt 10 000 000 </w:t>
      </w:r>
      <w:r w:rsidR="00000000" w:rsidRPr="00000000" w:rsidDel="00000000">
        <w:rPr>
          <w:i w:val="1"/>
          <w:rtl w:val="0"/>
        </w:rPr>
        <w:t xml:space="preserve">euro</w:t>
      </w:r>
      <w:r w:rsidR="00000000" w:rsidRPr="00000000" w:rsidDel="00000000">
        <w:rPr>
          <w:rtl w:val="0"/>
        </w:rPr>
        <w:t xml:space="preserve">. Ieguldījumu maksimālā summa nedrīkst pārsniegt minimumu, kas nepieciešams, lai nodrošinātu komersanta dzīvotspēju, un tā nedrīkst pārsniegt komersanta kapitāla struktūras atjaunošanai nepieciešamo apjomu tādā līmenī, kāds tas bija 2019. gada 31. decembrī, t. i., fonda ieguldījums komersantā nedrīkst uzlabot vērtību finanšu rādītājam "komersanta parādsaistību apjoms (ilgtermiņa kreditoru un īstermiņa kreditoru summa) pret pašu kapitāla bilances vērtību", salīdzinot ar 2019. gada 31. decembri. Lai noteiktu maksimālo ieguldījumu summu, izmanto starpību starp komersanta kapitāla struktūras stāvokli 2019. gada 31. decembrī un plānoto situāciju uz tā gada 31. decembri, kurā noslēdzas Eiropas Komisijas 2020. gada 19. marta paziņojuma "Pagaidu regulējums valsts atbalsta pasākumiem, ar ko atbalsta ekonomiku pašreizējā Covid-19 uzliesmojuma situācijā" (C(2020)1863) 3.11. iedaļā "Rekapitalizācijas pasākumi" noteiktā atbalsta sniegšanas termiņš.";</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26.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 Ja nekonvertējamo aizdevumu summa, kas tiek izsniegta atbilstoši šo noteikumu 16.3. un 16.4. apakšpunktā minētajiem finanšu instrumentiem, 2019. gadā vai pēdējā pieejamā gadā nepārsniedz divas trešdaļas no lielā komersanta vai vidējā komersanta (atbilstoši Komisijas regulas Nr. 651/2014 I pielikuma 2. pantā, Komisijas regulas Nr. 702/2014 I pielikuma 2. pantā vai Komisijas regulas Nr. 1388/2014 I pielikuma 2. pantā noteiktajai definīcijai) gada algu izdevumiem (ieskaitot sociālās iemaksas) vai 8,4 % lielā komersanta vai 12,5 % vidējā komersanta kopējā apgrozījuma 2019. gadā, tad vienlaikus tiek izpildītas šādas prasības: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26.1. obligācijās tiek ieguldīts un aizdevumu līgumi tiek parakstīti līdz Eiropas Komisijas 2020. gada 19. marta paziņojuma "Pagaidu regulējums valsts atbalsta pasākumiem, ar ko atbalsta ekonomiku pašreizējā Covid-19 uzliesmojuma situācijā" (C(2020)1863) 3.3. iedaļā "Atbalsts subsidētu procentu likmju aizdevumiem veidā" noteiktajam atbalsta sniegšanas termiņam;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26.2. ieguldījumu obligācijās un aizdevumu atmaksas termiņš nepārsniedz sešus gadus;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26.3. ieguldījumi obligācijās un aizdevumi tiek izmantoti apgrozāmā kapitāla un investīciju finansēšanai;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26.4. procentu likmi nosaka, ņemot vērā finanšu instrumenta termiņu, un tā nedrīkst būt zemāka par procentu likmi, kas ir minēta šo noteikumu 2. pielikumā.";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33.1.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"33.1. kamēr nav atlīdzināti vismaz 75 % no fonda ieguldījuma, saņēmēji, kuri nav vidējie komersanti, nedrīkst iegādāties vairāk par 10 % līdzdalības uzņēmumos, kas nav saistītie uzņēmumi, kuri darbojas tajā pašā darbības jomā, tostarp blakus tirgos;"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papildināt ar 33.</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1</w:t>
      </w:r>
      <w:r w:rsidR="00000000" w:rsidRPr="00000000" w:rsidDel="00000000">
        <w:rPr>
          <w:rtl w:val="0"/>
        </w:rPr>
        <w:t xml:space="preserve"> Ja fonds iepludina pašu kapitālu uzņēmumā, kurā tas vēl (t. i., pirms Covid-19 pašu kapitāla iepludināšanas pasākuma) nav akcionārs, un tas iepludina jaunu pašu kapitālu ar tādiem pašiem nosacījumiem kā citi privātie investori, kredītiestādes vai citi privātā kapitāla fondi, un privātā līdzdalība ir nozīmīga (vismaz 30 % no jaunā iepludinātā pašu kapitāla), tad tas tiek paredzēts līgumā, un šo noteikumu 33.5. apakšpunktā noteiktais aizliegums veikt dividenžu maksājumus tiek atcelts attiecībā uz citiem privātajiem investoriem, kredītiestādēm vai citiem privātā kapitāla fondiem. Attiecībā uz esošajām akcijām (pirms fonda un citu privāto investoru, kredītiestāžu vai citu privātā kapitāla fondu investīcijas) aizliegumu veikt dividenžu maksājumus atceļ ar nosacījumu, ka šādu akciju turētājiem piederošā daļa kopumā tiek samazināta zem 10 % no uzņēmuma kapitāla. Jebkurā gadījumā atlīdzību, kas maksājama par fonda turētajiem Covid-19 hibrīdkapitāla un pakārtotā parāda instrumentiem, izmaksā pirms dividenžu izmaksas akcionāriem attiecīgajā gadā.";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izteikt 34.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 Ja sešus gadus pēc fonda ieguldījuma komersantā fonda ieguldījums ir atmaksāts mazāk par 15 % no komersanta pašu kapitāla, komersants sagatavo pārstrukturēšanas plānu saskaņā ar Eiropas Komisijas paziņojumu "Pamatnostādnes par valsts atbalstu grūtībās nonākušu nefinanšu uzņēmumu glābšanai un pārstrukturēšanai" (Eiropas Savienības Oficiālais Vēstnesis, 2014. gada 31. jūlijs, Nr. C249/1) un paziņo to Eiropas Komisijai apstiprināšanai. Ja komersanta akcijas nav iekļautas akciju sabiedrības "Nasdaq Riga" regulētajā tirgū vai daudzpusējā tirdzniecības sistēmā vai komersants ir vidējais komersants, šajā punktā minēto prasību par pārstrukturēšanas plāna sagatavošanu un paziņošanu Eiropas Komisijai apstiprināšanai piemēro, ja septiņus gadus pēc fonda ieguldījuma komersantā fonda ieguldījums ir atmaksāts mazāk par 15 % no komersanta pašu kapitāla.";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izteikt 36.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"36. Lielais komersants regulāri ik pēc 12 mēnešiem pēc fonda ieguldījuma piešķiršanas, kamēr nav pilnībā atgūts fonda ieguldījums, publicē savā tīmekļvietnē informāciju par saņemtā ieguldījuma izlietojumu, iekļaujot arī informāciju, kā saņemtais ieguldījums atbalsta komersanta saimniecisko darbību saskaņā ar Eiropas Savienības mērķiem un valsts saistībām, kas attiecas uz zaļo un digitālo transformāciju, tostarp saskaņā ar Eiropas Savienības mērķi līdz 2050. gadam panākt klimatneitralitāti."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Noteikumi stājas spēkā nākamajā dienā pēc tam, kad oficiālajā izdevumā "Latvijas Vēstnesis" publicēts paziņojums par to, ka Eiropas Komisija pieņēmusi lēmumu par šajos noteikumos paredzētā komercdarbības atbalsta saderību ar Eiropas Savienības iekšējo tirgu.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Ekonomikas ministrija pēc tam, kad Eiropas Komisija pieņēmusi lēmumu par komercdarbības atbalsta saderību ar Eiropas Savienības iekšējo tirgu, nosūta attiecīgu paziņojumu publicēšanai oficiālajā izdevumā "Latvijas Vēstnesis".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Vitenbergs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21-TA-1446</w:t>
    </w:r>
    <w:r>
      <w:br/>
    </w:r>
    <w:r w:rsidR="00000000" w:rsidRPr="00000000" w:rsidDel="00000000">
      <w:rPr>
        <w:rtl w:val="0"/>
      </w:rPr>
      <w:t xml:space="preserve">Izdrukāts 29.07.2026. 22.48 - 1.0.VK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21-TA-1446</w:t>
    </w:r>
    <w:r>
      <w:br/>
    </w:r>
    <w:r w:rsidR="00000000" w:rsidRPr="00000000" w:rsidDel="00000000">
      <w:rPr>
        <w:rtl w:val="0"/>
      </w:rPr>
      <w:t xml:space="preserve">Izdrukāts 29.07.2026. 22.48 - 1.0.VK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noteikumu_(grozījumu)_projekts_21-TA-1446.docx</dc:title>
</cp:coreProperties>
</file>

<file path=docProps/custom.xml><?xml version="1.0" encoding="utf-8"?>
<Properties xmlns="http://schemas.openxmlformats.org/officeDocument/2006/custom-properties" xmlns:vt="http://schemas.openxmlformats.org/officeDocument/2006/docPropsVTypes"/>
</file>