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612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21. oktobrī (prot. Nr. 44 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Eiropas Savienības fondu 2021.</w:t>
      </w:r>
      <w:r w:rsidR="00000000" w:rsidRPr="00000000" w:rsidDel="00000000">
        <w:rPr>
          <w:rStyle w:val="paragraph"/>
          <w:i w:val="1"/>
          <w:rtl w:val="0"/>
        </w:rPr>
        <w:t xml:space="preserve">–</w:t>
      </w:r>
      <w:r w:rsidR="00000000" w:rsidRPr="00000000" w:rsidDel="00000000">
        <w:rPr>
          <w:rStyle w:val="paragraph"/>
          <w:i w:val="1"/>
          <w:rtl w:val="0"/>
        </w:rPr>
        <w:t xml:space="preserve">2027. gada plānošanas perioda vadības likuma 19. panta</w:t>
      </w:r>
      <w:r w:rsidR="00000000" w:rsidRPr="00000000" w:rsidDel="00000000">
        <w:rPr>
          <w:rStyle w:val="paragraph"/>
          <w:i w:val="1"/>
          <w:rtl w:val="0"/>
        </w:rPr>
        <w:t xml:space="preserve">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 (Latvijas Vēstnesis, 2024, 211. nr.; 2025, 53.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2.7.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 divējāda lietojuma jauns produkts – produkts vai tehnoloģija, ko var izmantot gan civilām, gan militārām vajadzībām;".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ar 2.8.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"2.8. ārvalstu partneris – komersants vai pētniecības un zināšanu izplatīšanas organizācija, kas reģistrēta Eiropas Savienības dalībvalstī, Eiropas Ekonomikas zonas valstī vai Ziemeļatlantijas līguma organizācijas dalībvalstī, kas nav Latvija, un ar kuru projekta iesniedzējs ir noslēdzis sadarbības līgumu;".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Papildināt ar 2.9.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 līgumpētījums – finansējuma saņēmēja interesēs veikta pētniecība, ko finansējuma saņēmēja uzdevumā īsteno pētniecības un zināšanu izplatīšanas organizācija, kura noteikta saskaņā ar normatīvajiem aktiem par iepirkuma procedūru un tās piemērošanas kārtību pasūtītāja finansētiem projektiem un kuras darbība reģistrēta Latvijā vai ārvalstīs. Līgumpētījumu raksturo šādi kritēriji: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2.9.1. finansējuma saņēmējam pieder projekta rezultāti, un uz finansējuma saņēmēju attiecas projekta neizdošanās risks;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2.9.2. tehnoloģiju tiesības, kas izriet no pētniecības un zināšanu izplatīšanas organizācijas projekta ietvaros veiktās darbības, pilnībā piešķir finansējuma saņēmējam, kurš gūst visas ekonomiskās priekšrocības no šīm tiesībām, paturot tās pilnībā savā rīcībā;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2.9.3. finansējuma saņēmējs nosaka šā pakalpojuma noteikumus un nosacījumus, kas attiecināmi uz projekta rezultātu publicitāti un komercializāciju;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2.9.4. viena projekta ietvaros finansējuma saņēmējs var apvienot vairākus līgumpētījumus dažādām pētniecības un zināšanu izplatīšanas organizācijām, ja tas nepieciešams projekta rezultātu sasniegšanai."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Pasākuma mērķis ir finansējuma pieejamības nodrošināšana uzņēmumu divējāda lietojuma jaunu produktu un tehnoloģiju izstrādei aizsardzības un drošības jomā, piesaistot Eiropas Reģionālās attīstības fonda finansējumu un privāto līdzfinansējumu."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Pasākuma ietvaros kopējais pieejamais attiecināmais finansējums ir 29 365 499 </w:t>
      </w:r>
      <w:r w:rsidR="00000000" w:rsidRPr="00000000" w:rsidDel="00000000">
        <w:rPr>
          <w:i w:val="1"/>
          <w:rtl w:val="0"/>
        </w:rPr>
        <w:t xml:space="preserve">euro</w:t>
      </w:r>
      <w:r w:rsidR="00000000" w:rsidRPr="00000000" w:rsidDel="00000000">
        <w:rPr>
          <w:rtl w:val="0"/>
        </w:rPr>
        <w:t xml:space="preserve">, tai skaitā Eiropas Reģionālās attīstības fonda finansējums – 24 960 674 </w:t>
      </w:r>
      <w:r w:rsidR="00000000" w:rsidRPr="00000000" w:rsidDel="00000000">
        <w:rPr>
          <w:i w:val="1"/>
          <w:rtl w:val="0"/>
        </w:rPr>
        <w:t xml:space="preserve">euro</w:t>
      </w:r>
      <w:r w:rsidR="00000000" w:rsidRPr="00000000" w:rsidDel="00000000">
        <w:rPr>
          <w:rtl w:val="0"/>
        </w:rPr>
        <w:t xml:space="preserve"> un valsts budžeta līdzfinansējums – 4 404 825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Svītrot 7.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 8.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Vienam projekta iesniegumam minimālais kopējo attiecināmo izmaksu apmērs nav mazāks par 200 000 </w:t>
      </w:r>
      <w:r w:rsidR="00000000" w:rsidRPr="00000000" w:rsidDel="00000000">
        <w:rPr>
          <w:i w:val="1"/>
          <w:rtl w:val="0"/>
        </w:rPr>
        <w:t xml:space="preserve">euro </w:t>
      </w:r>
      <w:r w:rsidR="00000000" w:rsidRPr="00000000" w:rsidDel="00000000">
        <w:rPr>
          <w:rtl w:val="0"/>
        </w:rPr>
        <w:t xml:space="preserve">(ieskaitot), maksimāli pieļaujamais publiskais finansējums viena projekta ietvaros ir 1 000 000 </w:t>
      </w:r>
      <w:r w:rsidR="00000000" w:rsidRPr="00000000" w:rsidDel="00000000">
        <w:rPr>
          <w:i w:val="1"/>
          <w:rtl w:val="0"/>
        </w:rPr>
        <w:t xml:space="preserve">euro </w:t>
      </w:r>
      <w:r w:rsidR="00000000" w:rsidRPr="00000000" w:rsidDel="00000000">
        <w:rPr>
          <w:rtl w:val="0"/>
        </w:rPr>
        <w:t xml:space="preserve">no projekta ietvaros attiecināmajām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13.1.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"13.1. projektu iesniegumu iesniegšanu izsludina par visu šo noteikumu 6. punktā minēto pasākumam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Papildināt ar 13.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6. punktā minētais finansējums netiek sadalīts pilnībā, atbildīgā iestāde, izvērtējot atlikušo finansējumu, ierosina sadarbības iestādei pasākuma ietvaros veidot jaunu atklātu projektu iesniegumu atlasi atbilstoši šo noteikumu 13. punktam."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14.3.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"14.3. tā apgrozījums pēdējā noslēgtajā finanšu gadā līdz projekta iesnieguma iesniegšanai Kohēzijas politikas fondu vadības informācijas sistēmā (turpmāk – vadības informācijas sistēma) ir vismaz 30 procenti no plānotā publiskā finansējuma vai tam ir noslēgts līgums ar Nacionālajiem bruņotajiem spēkiem vismaz 30 procentu apmērā no plānotā publiskā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14.4.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"14.4. tam saskaņā ar Valsts ieņēmumu dienesta nodokļu (nodevu) maksātāju reitingu ir laba nodokļu saistību izpilde vai saskaņā ar Valsts ieņēmumu dienesta administrēto nodokļu (nodevu) parādnieku publiskajā datubāzē pieejamo informāciju nav nodokļu vai nodevu parāda, tai skaitā valsts sociālās apdrošināšanas obligāto iemaksu parāda, kas kopsummā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projekta iesniegšanas dienā un precizētā projekta iesniegšanas dienā vai attiecībā uz kuriem ir noslēgts vienošanās līgums saskaņā ar likuma "Par nodokļiem un nodevām" 41. pantu;".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15.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 Projekta iesniedzējam, kas atbilst jauna komersanta statusam, šo noteikumu 14.2. apakšpunktā minēto nosacījumu var nepiemērot. Šajā gadījumā maksimāli pieļaujamais publiskais finansējums ir 300 000 </w:t>
      </w:r>
      <w:r w:rsidR="00000000" w:rsidRPr="00000000" w:rsidDel="00000000">
        <w:rPr>
          <w:i w:val="1"/>
          <w:rtl w:val="0"/>
        </w:rPr>
        <w:t xml:space="preserve">euro </w:t>
      </w:r>
      <w:r w:rsidR="00000000" w:rsidRPr="00000000" w:rsidDel="00000000">
        <w:rPr>
          <w:rtl w:val="0"/>
        </w:rPr>
        <w:t xml:space="preserve">no projekta ietvaros attiecināmajām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16.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 Projekta iesniedzējam ir tiesības projekta īstenošanā piesaistīt sadarbības partnerus."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Papildināt ar 19.6.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"19.6. nodomu protokolu, apliecinājumu vai citu dokumentu, kas apliecina projekta iesniedzēja un līgumpētījuma izpildītāja sadarbību projekta ietvaros, ja projekts pilnībā tiek īstenots kā līgumpētījums;".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Papildināt ar 19.7.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"19.7.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atbalsta uzskaites sistēmā sagatavoto veidlapas "Veidlapa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izdruku, ja projektā tiek plānotas izmaksas atbilstoši šo noteikumu 27.16. apakšpunktam un projekta iesniegumā nav norādīts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27.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 Projekta ietvaros ir attiecināmas šādas izmaksas, kas ir izmērāmas, samērīgas, pamatotas un atbilst pareizas finanšu vadības principiem saskaņā ar Eiropas Parlamenta un Padomes 2024. gada 23. septembra Regulas (ES, Euratom) 2024/2509 par finanšu noteikumiem, ko piemēro Savienības vispārējam budžetam (turpmāk – regula Nr. 2024/2509), 33. panta nosacījumiem: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 darba samaksa Darba likuma 59. panta izpratnē un atlīdzība par darba veikšanu, ņemot vērā darba apjomu un specifiku un tiešās personāla izmaksas iesaistītajiem speciālistiem, kas atbilst Komisijas regulas Nr. 651/2014 25. panta 3. punkta "a" apakšpunktam, projekta vadības personāla izmaksām, kas nepārsniedz 34 422 </w:t>
      </w:r>
      <w:r w:rsidR="00000000" w:rsidRPr="00000000" w:rsidDel="00000000">
        <w:rPr>
          <w:i w:val="1"/>
          <w:rtl w:val="0"/>
        </w:rPr>
        <w:t xml:space="preserve">euro </w:t>
      </w:r>
      <w:r w:rsidR="00000000" w:rsidRPr="00000000" w:rsidDel="00000000">
        <w:rPr>
          <w:rtl w:val="0"/>
        </w:rPr>
        <w:t xml:space="preserve">kalendāra gadā, pieskaitot 0,64 procentus no projekta tiešajām attiecināmajām izmaksām, neieskaitot tiešās projekta vadības personāla izmaksas;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27.2. ar darba samaksu saistītās valsts sociālās apdrošināšanas obligātās iemaksas, kas atbilst Komisijas regulas Nr. 651/2014 25. panta 3. punkta "a"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27.3. projekta īstenošanas personāla komandējuma (darba brauciena) izmaksas saskaņā ar normatīvajiem aktiem par kārtību, kādā atlīdzināmi ar komandējumiem saistītie izdevumi, kas atbilst Komisijas regulas Nr. 651/2014 25. panta 3. punkta "a"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27.4. komunālo pakalpojumu un sakaru pakalpojumu izmaksas, ciktāl tos izmanto rūpnieciskā pētījuma, eksperimentālās izstrādes vai tehniski ekonomiskās priekšizpētes darbībām, kas atbilst Komisijas regulas Nr. 651/2014 25. panta 3. punkta "e"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27.5. telpu nomas maksa, kas atbilst Komisijas regulas Nr. 651/2014 25. panta 3. punkta "c"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27.6. instrumentu, iekārtu un to aprīkojuma iegādes un nomas maksa, kas atbilst Komisijas regulas Nr. 651/2014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Finansējuma saņēmējam vai sadarbības partnerim ir pienākums pamatot un pierādīt, ka, nomājot iekārtas, ir ievērots saimnieciskā izdevīguma princips. Izmaksām ir jābūt pamatotām un noteiktām atbilstoši ekonomiskuma un efektivitātes principam;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27.7. plānotās fizikālo, bioloģisko, ķīmisko un citu materiālu, kā arī izmēģinājuma dzīvnieku, reaktīvu, ķimikāliju, laboratorijas trauku, medikamentu, zinātniskās literatūras un mazvērtīgā inventāra iegādes izmaksas, tai skaitā piegādes izmaksas, ciktāl tos izmanto rūpnieciskā pētījuma, eksperimentālās izstrādes vai tehniski ekonomiskās priekšizpētes darbībām, kas atbilst Komisijas regulas Nr. 651/2014 25. panta 3. punkta "b"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27.8. izmaksas par līgumpētījumiem un patentiem, ciktāl tos izmanto rūpnieciskā pētījuma, eksperimentālās izstrādes vai tehniski ekonomiskās priekšizpētes darbībām, kas atbilst Komisijas regulas Nr. 651/2014 25. panta 3. punkta "d"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27.9. finansējuma saņēmēja un sadarbības partnera īpašumā esošo instrumentu, iekārtu un to aprīkojuma izmaksas un to amortizācijas izmaksas, finanšu nomā iegādāto iekārtu amortizācijas izmaksas, ciktāl tos izmanto rūpnieciskā pētījuma, eksperimentālās izstrādes vai tehniski ekonomiskās priekšizpētes darbībām, kas atbilst Komisijas regulas Nr. 651/2014 25. panta 3. punkta "b" apakšpunktam, patentu un licenču izmaksas un to amortizācijas izmaksas, ciktāl tos izmanto projektā, kas atbilst Komisijas regulas Nr. 651/2014 25. panta 3. punkta "d" apakšpunktam un finansējuma saņēmēja un sadarbības partnera īpašumā esošo ēku amortizācijas izmaksas un zemes komerciālās nodošanas izmaksas vai faktiski veikto kapitālieguldījumu izmaksas, kas atbilst Komisijas regulas Nr. 651/2014 25. panta 3. punkta "c" apakšpunktam. Izmaksas par ēkām iespējams attiecināt no konkrētas daļas. Iekārtu amortizācijai piemēro tādu pašu nolietojuma aprēķināšanas metodi kā nomnieka īpašumā esošajiem pamatlīdzekļiem. Amortizācijas izmaksas iekārtām, kas iegādātas finanšu nomā, nevar būt lielākas par veikto nomas maksājumu par pamatlīdzekļa iegādi. Netiek segtas telpu, instrumentu, iekārtu un to aprīkojuma, patentu un licenču amortizācijas izmaksas, ja to iegādei vai izveidei jau ir ticis saņemts komercdarbības atbalsts no valsts, pašvaldības, Eiropas Savienības vai citiem publiskajiem līdzekļiem šā vai cita atbalsta pasākuma vai projekta ietvaros. Ja laiks, kamēr telpas, instrumentus, iekārtas, patentus un licences izmanto projektā, neaptver visu attiecīgo telpu, instrumentu, iekārtu, patentu un licenču lietderīgās lietošanas laiku, par attiecināmajām izmaksām uzskata tikai tādas amortizācijas izmaksas, kas atbilst projekta termiņam;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27.10. apdrošināšanas – veselības, dzīvības, transportlīdzekļu, īpašuma, iekārtu, civiltiesiskās atbildības un citas – izmaksas uz projekta īstenošanas laiku bez uzkrājuma veidošanas un iekļaušanas līguma par projekta īstenošanu tekstā, kas atbilst Komisijas regulas Nr. 651/2014 25. panta 3. punkta "e" apakšpunktam. Ja projekts neaptver visu attiecīgās apdrošināšanas darbības laiku, attiecināmajās izmaksās iekļauj tādu daļu no apdrošināšanas izmaksām, kas atbilst projekta termiņam;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27.11. ārējo pakalpojumu izmaksas – juridiskie, grāmatvedības, testēšanas un izstrādes, projektu vadības, lietvedības un tulkošanas pakalpojumi, kurus finansējuma saņēmējs un sadarbības partneris iepērk no trešajām personām –, ja attiecīgie pakalpojumi tiek izmantoti tikai rūpnieciskā pētījuma, eksperimentālās izstrādes vai tehniski ekonomiskās priekšizpētes darbībām, kas atbilst Komisijas regulas Nr. 651/2014 25. panta 3. punkta "e" apakšpunktam;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27.12. komunikācijas un vizuālās identitātes pasākumu izmaksas, kas atbilst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47. un 50. pantam un kārtībai, kādā Eiropas Savienības fondu vadībā iesaistītās institūcijas nodrošina šo fondu ieviešanu 2021.–2027. gada plānošanas periodā. Šajā punktā minētās izmaksas nav pakļautas komercdarbības atbalsta nosacījumiem;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27.13. datu iegādes izmaksas, kas atbilst Komisijas regulas Nr. 651/2014    25. panta 3. punkta "d" apakšpunktam, un abonēšanas izmaksas, kas atbilst Komisijas regulas Nr. 651/2014 25. panta 3. punkta "e" apakšpunktam, ciktāl tās attiecas uz rūpnieciskā pētījuma, eksperimentālās izstrādes vai tehniski ekonomiskās priekšizpētes darbībām;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27.14. citas izmaksas, tostarp finansējuma saņēmēja un sadarbības partnera dalības maksa iesaistei starptautiskās pētniecības un attīstības programmās, platformās un iniciatīvās, dalības maksa tīklošanās un mobilitātes pasākumiem, starptautisko projektu sagatavošanas izmaksas, lai iesaistītos starptautiskos konsorcijos, kas atbilst Komisijas regulas Nr. 651/2014 25. panta 3. punkta "e" apakšpunktam, ciktāl tās attiecas uz rūpnieciskā pētījuma, eksperimentālās izstrādes vai tehniski ekonomiskās priekšizpētes darbībām;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27.15. patentu un citu nemateriālu aktīvu iegūšanas izmaksas, kas atbilst Komisijas regulas Nr. 651/2014 28. panta 2. punkta "a" apakšpunktam, ciktāl tos izmanto rūpnieciskā pētījuma, eksperimentālās izstrādes vai tehniski ekonomiskās priekšizpētes darbībām, ja finansējuma saņēmējs ir komersants, kas atbilst sīkā (mikro), mazā vai vidējā saimnieciskās darbības subjekta statusam;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27.16. nozares ekspertīzes izmaksas tirgus un tehnoloģiju izpētei, ciktāl tas nepieciešams projekta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33.1.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"33.1. ja rūpnieciskā pētījuma, eksperimentālās izstrādes vai tehniski ekonomiskās priekšizpētes īstenošanā iesaistītais projekta vadības un īstenošanas personāls, tai skaitā zinātniskais darbinieks, projekta ietvaros saņem atlīdzību, noslēdzot darba līgumu, darba laika uzskaites tabulās norāda, cik stundu veltīts darbam projektā (atsevišķi norādot noslodzi rūpniecisko pētījumu, eksperimentālo izstrāžu un tehniski ekonomiskās priekšizpētes veikšanai) un cik stundu veltīts darbam, kas nav saistīts ar projektu;".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33.2.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"33.2. ja projekta vadības un īstenošanas personāls strādā projektā un veic citas funkcijas, par kurām saņem atlīdzību cita darba līguma vai uzņēmuma līguma ietvaros, darbs projektā netiek veikts laikā, kad atbilstoši noslēgtajam līgumam persona veic ar projektu nesaistītus uzdevumus. Ja darbu projekta ietvaros veic pamatdarba laikā, par attiecīgu stundu skaitu samazina pamatdarba slodzi;".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Svītrot 33.4.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Papildināt ar 42.</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Šo noteikumu 27.12. apakšpunktā minēto izmaksu maksimāli pieļaujamā finansējuma intensitāte ir 85 procenti."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Papildināt ar 42.</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2</w:t>
      </w:r>
      <w:r w:rsidR="00000000" w:rsidRPr="00000000" w:rsidDel="00000000">
        <w:rPr>
          <w:rtl w:val="0"/>
        </w:rPr>
        <w:t xml:space="preserve"> Šo noteikumu 27.15. apakšpunktā minēto izmaksu maksimāli pieļaujamā finansējuma intensitāte saskaņā ar Komisijas regulas Nr. 651/2014 28. panta 3. punktu ir 50 procenti."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Papildināt ar 42.</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3</w:t>
      </w:r>
      <w:r w:rsidR="00000000" w:rsidRPr="00000000" w:rsidDel="00000000">
        <w:rPr>
          <w:rtl w:val="0"/>
        </w:rPr>
        <w:t xml:space="preserve"> Šo noteikumu 27.16. apakšpunktā minēto izmaksu maksimāli pieļaujamā finansējuma intensitāte ir 85 procenti."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Izteikt 44.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"44. Projektu īsteno saskaņā ar noslēgto līgumu par projekta īstenošanu, bet ne ilgāk kā līdz 2029. gada 31. decembrim. Projekta īstenošanu uzsāk ne vēlāk kā sešus mēnešus pēc tam, kad noslēgts līgums par projekta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Izteikt 47.2.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"47.2. ievietot savā tīmekļvietnē aktuālo informāciju par projekta īstenošanas gaitu un nodrošināt komunikācijas un vizuālās identitātes pasākumus;".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Izteikt 47.9.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"47.9. gala rezultātu kvalitātes izvērtējuma saņemšanai sagatavot noslēguma rezultātu pārskatu;".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Papildināt ar 47.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1</w:t>
      </w:r>
      <w:r w:rsidR="00000000" w:rsidRPr="00000000" w:rsidDel="00000000">
        <w:rPr>
          <w:rtl w:val="0"/>
        </w:rPr>
        <w:t xml:space="preserve"> Sadarbības partnerim ir pienākums ievietot savā tīmekļvietnē aktuālo informāciju par projekta īstenošanas gaitu un nodrošināt komunikācijas un vizuālās identitātes pasākumus."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Izteikt 50.3.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Izteikt 53.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"53. Projekta pārtraukšana pirms termiņa beigām ir atbalstāma, ja projekta īstenošanas gaitā finansējuma saņēmējs konstatē, ka nebūs iespējams pilnībā sasniegt projekta izvirzīto mērķi. Sadarbības iestāde, pamatojoties uz gala rezultātu kvalitātes izvērtējumu, kuru sniedz atbildīgā iestāde un Aizsardzības ministrija, izvērtē projekta rezultātus, iekļautās izmaksas un sasniegto rezultātu atbilstību projekta mērķim un plānotajām aktivitātēm. Projektā ietverto atsevišķo aktivitāšu izmaksas ir attiecināmas, ja aktivitātes ietvaros plānotā darbība ir pilnībā pabeigta atbilstoši projekta iesniegumam un līguma par projekta īstenošanu nosacījumiem. Izmaksas var tikt attiecinātas un iekļautas maksājuma pieprasījumā tikai par tādiem starpposmiem, kas projekta pārtraukšanas brīdī ir pabeigti."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Izteikt 54.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 Projektu īstenošanas uzraudzībai atbildīgā iestāde un Aizsardzības ministrija kopīgi ar sadarbības iestādi nodrošina projektu gala rezultātu kvalitātes izvērtējumu, ievērojot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54.1. atbildīgā iestāde izstrādā un ar sadarbības iestādi un Aizsardzības ministriju saskaņo izvērtējuma standartformas, izvērtējumā ietverot prasību atbildīgās iestādes un Aizsardzības ministrijas pārstāvim izvērtēt un pamatot, cik lielā mērā plānotie rezultāti ir sasniegti;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54.2. gala rezultātu kvalitātes izvērtējumu, kuru veic atbildīgā iestāde un Aizsardzības ministrija, sadarbības iestāde izmanto lēmuma pieņemšanā par projekta mērķa un plānoto rezultātu sasniegšanu. Pamatojoties uz gala izvērtējumu par projektā plānoto rezultātu sasniegšanas līmeni, sadarbības iestāde var pieņemt lēmumu par finanšu korekcijas piemērošanu saskaņā ar vadošās iestādes izstrādātajām vadlīnijām par finanšu korekciju piemērošanu. Par minēto lēmumu sadarbības iestāde informē atbildīgo iestādi."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Izteikt 55.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"55. Finansējuma saņēmējs atbilstoši šo noteikumu 47.9. apakšpunktam sagatavo noslēguma rezultātu pārskatu, iekļaujot projekta kopsavilkumu un informāciju par rezultātiem."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Izteikt 56.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 Atbildīgā iestāde un Aizsardzības ministrija izvērtējumu par finansējuma saņēmēja sagatavoto noslēguma rezultātu pārskatu sniedz, ievērojot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56.1. izvērtējumā tiek iekļauta vismaz šāda informācija: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56.1.1. sasniegtie pētniecības rezultāti ir skaidri un nepārprotami;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56.1.2. pētniecības rezultāti atbilst projekta mērķim un plānotajām aktivitātēm, tai skaitā iespējams gūt pārliecību, ka projekta ietvaros izstrādātais prototips atbilst jauna produkta vai tehnoloģijas definīcijai atbilstoši šo noteikumu 2.3. apakšpunktam vai projekta darbības ir vērstas uz prototipa izstrādi;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56.2. noslēguma rezultātu pārskata atbilstību šo noteikumu 56.1. apakšpunktā minētajiem kritērijiem raksturo ar šādiem vērtējumiem: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56.2.1. atbilst;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56.2.2. daļēji atbilst;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56.2.3. neatbilst."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Izteikt 58.4.1.2.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"58.4.1.2. pētniecības un attīstības tehniskais personāls;".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Papildināt ar 58.4.1.3.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"58.4.1.3. pētniecības un attīstības atbalsta personāls;".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Izteikt 58.4.2.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"58.4.2. ārējais pētniecības un attīstības personāls – pētnieki (zinātnieki un citi profesionāļi);".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Izteikt 58.5.1.2.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"58.5.1.2. pētniecības un attīstības tehniskais personāls;".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Papildināt ar 58.5.1.3.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"58.5.1.3. pētniecības un attīstības atbalsta personāls;".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Izteikt 58.5.2.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"58.5.2. ārējais pētniecības un attīstības personāls – pētnieki (zinātnieki un citi profesionāļi);".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Izteikt 62.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 Komercdarbības atbalstu, kas pasākuma ietvaros sniegts saskaņā ar Komisijas regulas Nr. 651/2014 25. vai 28. pantu, var apvienot ar citā komercdarbības atbalsta programmā vai individuālā atbalsta projektā sniegto atbalstu dažādām nosakāmām attiecināmajām izmaksām vai vienām un tām pašām attiecināmajām izmaksām saskaņā ar Komisijas regulas Nr. 651/2014 8. pantu, tai skaitā var apvienot ar citā komercdarbības atbalsta programmā vai individuālā atbalsta projektā sniegto </w:t>
      </w:r>
      <w:r w:rsidR="00000000" w:rsidRPr="00000000" w:rsidDel="00000000">
        <w:rPr>
          <w:i w:val="1"/>
          <w:rtl w:val="0"/>
        </w:rPr>
        <w:t xml:space="preserve">de minimis </w:t>
      </w:r>
      <w:r w:rsidR="00000000" w:rsidRPr="00000000" w:rsidDel="00000000">
        <w:rPr>
          <w:rtl w:val="0"/>
        </w:rPr>
        <w:t xml:space="preserve">atbalstu, nepārsniedzot maksimāli pieļaujamo atbalsta finansējuma intensitāti saskaņā ar Komisijas regulas Nr. 651/2014 25. panta 5. punkta "b", "c" un "d" apakšpunktu, 6. punkta "a", "b" un "d" apakšpunktu un 7. punktu un 28. panta 3.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Papildināt ar 62.</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Pasākuma ietvaros sadarbības iestāde finansējuma saņēmējam un sadarbības partnerim finansējumu šo noteikumu 27.16. apakšpunktā minēto izmaksu segšanai sniedz saskaņā ar Eiropas Komisijas 2023. gada 13. decembra Regulu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Papildināt ar 62.</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2</w:t>
      </w:r>
      <w:r w:rsidR="00000000" w:rsidRPr="00000000" w:rsidDel="00000000">
        <w:rPr>
          <w:rtl w:val="0"/>
        </w:rPr>
        <w:t xml:space="preserve"> Pirms komercdarbības atbalsta sniegšanas saskaņā ar Komisijas regulu Nr. 2023/2831 sadarbības iestāde pārliecinās, vai </w:t>
      </w:r>
      <w:r w:rsidR="00000000" w:rsidRPr="00000000" w:rsidDel="00000000">
        <w:rPr>
          <w:i w:val="1"/>
          <w:rtl w:val="0"/>
        </w:rPr>
        <w:t xml:space="preserve">de minimis</w:t>
      </w:r>
      <w:r w:rsidR="00000000" w:rsidRPr="00000000" w:rsidDel="00000000">
        <w:rPr>
          <w:rtl w:val="0"/>
        </w:rPr>
        <w:t xml:space="preserve"> atbalsta kopsumma finansējuma saņēmējam un sadarbības partnerim pēdējo triju gadu periodā, skaitot no </w:t>
      </w:r>
      <w:r w:rsidR="00000000" w:rsidRPr="00000000" w:rsidDel="00000000">
        <w:rPr>
          <w:i w:val="1"/>
          <w:rtl w:val="0"/>
        </w:rPr>
        <w:t xml:space="preserve">de minimis</w:t>
      </w:r>
      <w:r w:rsidR="00000000" w:rsidRPr="00000000" w:rsidDel="00000000">
        <w:rPr>
          <w:rtl w:val="0"/>
        </w:rPr>
        <w:t xml:space="preserve"> atbalsta piešķiršanas dienas, kopā ar plānoto </w:t>
      </w:r>
      <w:r w:rsidR="00000000" w:rsidRPr="00000000" w:rsidDel="00000000">
        <w:rPr>
          <w:i w:val="1"/>
          <w:rtl w:val="0"/>
        </w:rPr>
        <w:t xml:space="preserve">de minimis</w:t>
      </w:r>
      <w:r w:rsidR="00000000" w:rsidRPr="00000000" w:rsidDel="00000000">
        <w:rPr>
          <w:rtl w:val="0"/>
        </w:rPr>
        <w:t xml:space="preserve"> atbalstu nepārsniedz minētās regulas 3. panta 2. punktā noteikto </w:t>
      </w:r>
      <w:r w:rsidR="00000000" w:rsidRPr="00000000" w:rsidDel="00000000">
        <w:rPr>
          <w:i w:val="1"/>
          <w:rtl w:val="0"/>
        </w:rPr>
        <w:t xml:space="preserve">de minimis</w:t>
      </w:r>
      <w:r w:rsidR="00000000" w:rsidRPr="00000000" w:rsidDel="00000000">
        <w:rPr>
          <w:rtl w:val="0"/>
        </w:rPr>
        <w:t xml:space="preserve"> atbalsta ierobežojumu. Finansējuma limits vienam finansējuma saņēmējam un sadarbības partnerim tiek vērtēts viena vienota uzņēmuma līmenī atbilstoši Komisijas regulas Nr. 2023/2831 2. panta 2. punktam."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Papildināt ar 62.</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saskaņā ar Komisijas regulu Nr. 2023/2831 piešķir, ievērojot Komisijas regulas Nr. 2023/2831 1. panta 1. punktā minētos nozaru un darbību ierobežojumus. Ja projekta iesniedzējs vienlaikus darbojas vienā vai vairākās Komisijas regulas Nr. 2023/2831 1. panta 1. punkta "a", "b", "c" un "d" apakšpunktā minētajās nozarēs, atbalstu drīkst piešķirt tikai tad, ja projekta iesniedzējs un sadarbības partneris nodrošina šo nozaru darbību vai uzskaites nodalīšanu, lai saskaņā ar Komisijas regulas Nr. 2023/2831 1. panta 2. punktu darbības izslēgtajās nozarēs un šo noteikumu 24. punktā minētajās izslēgtajās nozarēs un darbībās negūst labumu no </w:t>
      </w:r>
      <w:r w:rsidR="00000000" w:rsidRPr="00000000" w:rsidDel="00000000">
        <w:rPr>
          <w:i w:val="1"/>
          <w:rtl w:val="0"/>
        </w:rPr>
        <w:t xml:space="preserve">de minimis</w:t>
      </w:r>
      <w:r w:rsidR="00000000" w:rsidRPr="00000000" w:rsidDel="00000000">
        <w:rPr>
          <w:rtl w:val="0"/>
        </w:rPr>
        <w:t xml:space="preserve"> atbalsta, ko piešķir saskaņā ar šiem noteikumiem."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Papildināt ar 62.</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4</w:t>
      </w:r>
      <w:r w:rsidR="00000000" w:rsidRPr="00000000" w:rsidDel="00000000">
        <w:rPr>
          <w:rtl w:val="0"/>
        </w:rPr>
        <w:t xml:space="preserve"> Projekta iesniedzējs un sadarbības partneris projekta iesniegumā norāda informāciju par plānoto komercdarbības atbalstu par tām pašām attiecināmajām izmaksām, norādot plānoto komercdarbības atbalsta intensitāti, komercdarbības atbalsta sniedzēju, komercdarbības atbalsta pasākumu vai investīciju un plānoto komercdarbības atbalsta summu."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Papildināt ar 62.</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5</w:t>
      </w:r>
      <w:r w:rsidR="00000000" w:rsidRPr="00000000" w:rsidDel="00000000">
        <w:rPr>
          <w:rtl w:val="0"/>
        </w:rPr>
        <w:t xml:space="preserve"> Šo noteikumu ietvaros saņemto </w:t>
      </w:r>
      <w:r w:rsidR="00000000" w:rsidRPr="00000000" w:rsidDel="00000000">
        <w:rPr>
          <w:i w:val="1"/>
          <w:rtl w:val="0"/>
        </w:rPr>
        <w:t xml:space="preserve">de minimis</w:t>
      </w:r>
      <w:r w:rsidR="00000000" w:rsidRPr="00000000" w:rsidDel="00000000">
        <w:rPr>
          <w:rtl w:val="0"/>
        </w:rPr>
        <w:t xml:space="preserve"> atbalstu var apvienot ar citu </w:t>
      </w:r>
      <w:r w:rsidR="00000000" w:rsidRPr="00000000" w:rsidDel="00000000">
        <w:rPr>
          <w:i w:val="1"/>
          <w:rtl w:val="0"/>
        </w:rPr>
        <w:t xml:space="preserve">de minimis</w:t>
      </w:r>
      <w:r w:rsidR="00000000" w:rsidRPr="00000000" w:rsidDel="00000000">
        <w:rPr>
          <w:rtl w:val="0"/>
        </w:rPr>
        <w:t xml:space="preserve"> atbalstu saskaņā ar Komisijas regulas Nr. 2023/2831 5. pantu, tai skaitā par vienām un tām pašām attiecināmajām izmaksām, ja pēc atbalstu apvienošanas atbalsta vienībai vai izmaksu pozīcijai attiecīgā maksimālā atbalsta intensitāte nepārsniedz 100 procentus, kā arī netiek pārsniegts Komisijas regulas Nr. 2023/2831 3. panta 2. punktā noteiktais maksimālais </w:t>
      </w:r>
      <w:r w:rsidR="00000000" w:rsidRPr="00000000" w:rsidDel="00000000">
        <w:rPr>
          <w:i w:val="1"/>
          <w:rtl w:val="0"/>
        </w:rPr>
        <w:t xml:space="preserve">de minimis</w:t>
      </w:r>
      <w:r w:rsidR="00000000" w:rsidRPr="00000000" w:rsidDel="00000000">
        <w:rPr>
          <w:rtl w:val="0"/>
        </w:rPr>
        <w:t xml:space="preserve"> atbalsta apmērs."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Papildināt ar 66.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"66.</w:t>
      </w:r>
      <w:r w:rsidR="00000000" w:rsidRPr="00000000" w:rsidDel="00000000">
        <w:rPr>
          <w:vertAlign w:val="superscript"/>
          <w:rtl w:val="0"/>
        </w:rPr>
        <w:t xml:space="preserve">1</w:t>
      </w:r>
      <w:r w:rsidR="00000000" w:rsidRPr="00000000" w:rsidDel="00000000">
        <w:rPr>
          <w:rtl w:val="0"/>
        </w:rPr>
        <w:t xml:space="preserve"> Ja tiek pārkāpti Komisijas regulas Nr. 2023/2831 nosacījumi, finansējuma saņēmējam un sadarbības partnerim ir pienākums atmaksāt sadarbības iestādei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Izteikt 68.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"68. Par komercdarbības atbalstu, kas finansējuma saņēmējam un sadarbības partnerim piešķirts saskaņā ar Komisijas regulu Nr. 651/2014, sadarbības iestāde lēmumus var pieņemt līdz Komisijas regulas Nr. 651/2014 58. panta 4. punktā noteiktajam termiņam."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47.</w:t>
      </w:r>
      <w:r w:rsidR="00000000" w:rsidRPr="00000000" w:rsidDel="00000000">
        <w:rPr>
          <w:rtl w:val="0"/>
        </w:rPr>
        <w:t xml:space="preserve"> </w:t>
      </w:r>
      <w:r w:rsidR="00000000" w:rsidRPr="00000000" w:rsidDel="00000000">
        <w:rPr>
          <w:rtl w:val="0"/>
        </w:rPr>
        <w:t xml:space="preserve">Papildināt ar 69.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"69. Par atbalstu, kas finansējuma saņēmējam un sadarbības partnerim piešķirts saskaņā ar Komisijas regulu Nr. 2023/2831, sadarbības iestāde lēmumus var pieņemt, nepārsniedzot šo noteikumu 44. punktā un Komisijas regulas Nr. 2023/2831 8. pantā noteikto termiņu."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25-TA-1276</w:t>
    </w:r>
    <w:r>
      <w:br/>
    </w:r>
    <w:r w:rsidR="00000000" w:rsidRPr="00000000" w:rsidDel="00000000">
      <w:rPr>
        <w:rtl w:val="0"/>
      </w:rPr>
      <w:t xml:space="preserve">Izdrukāts 29.07.2026. 23.32 - 1.0.VK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25-TA-1276</w:t>
    </w:r>
    <w:r>
      <w:br/>
    </w:r>
    <w:r w:rsidR="00000000" w:rsidRPr="00000000" w:rsidDel="00000000">
      <w:rPr>
        <w:rtl w:val="0"/>
      </w:rPr>
      <w:t xml:space="preserve">Izdrukāts 29.07.2026. 23.32 - 1.0.VK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noteikumu_(grozījumu)_projekts_25-TA-1276.docx</dc:title>
</cp:coreProperties>
</file>

<file path=docProps/custom.xml><?xml version="1.0" encoding="utf-8"?>
<Properties xmlns="http://schemas.openxmlformats.org/officeDocument/2006/custom-properties" xmlns:vt="http://schemas.openxmlformats.org/officeDocument/2006/docPropsVTypes"/>
</file>