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14.07.2022. noteikumu Nr. 466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 ar šādām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un sabiedrību ar ierobežotu atbildību "Priekules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10 312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10 362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10 742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1 566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11 727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18 298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17 836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2 727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3 360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4 051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10 690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8 697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Garīgās veselības aprūpes māsas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2, 10, 13,14</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153. punkts),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garīgās veselības aprūpes māsas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"Rīgas psihiatrijas un narkoloģijas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4. pielikumā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4. pielikumā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4. pielikumā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iestādi, kas saņem fiksēto maksājumu par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iestādi, kas saņem šajā pielikumā noteikto maksājumu par diabētiskās pēdas aprūpes kabinetu vai par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153.2. apakšpunktā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un uztura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medicīnas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šī pielikuma 2.23.apakšpunktā minētais maksājums. Ja kabinetā nodarbināto funkcionālo speciālistu, psihologu, psihoterapeitu, narkologu vai psihiatru slodžu skaits ir mazāks par vienu slodzi, tad šī pielikuma 2.23.apakšpunktā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22-TA-3165</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22-TA-3165</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noteikumu_konsolidētā_versija_p10_22-TA-3165.docx</dc:title>
</cp:coreProperties>
</file>

<file path=docProps/custom.xml><?xml version="1.0" encoding="utf-8"?>
<Properties xmlns="http://schemas.openxmlformats.org/officeDocument/2006/custom-properties" xmlns:vt="http://schemas.openxmlformats.org/officeDocument/2006/docPropsVTypes"/>
</file>