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Aizsardzības ministrijai, Finanšu ministrijai (Centrālajai finanšu un līgumu aģentūrai) un Rīgas Tehniskajai universitātei uzņemties valsts budžeta ilgtermiņa saistības un īstenot projektus un pasākumus Eiropas Komisijas tieši administrētajās programmās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Aizsardzības ministrijai, Finanšu ministrijai (Centrālajai finanšu un līgumu aģentūrai) un Rīgas Tehniskajai universitātei uzņemties papildu valsts budžeta ilgtermiņa saistības projekta "Kiberdrošības kompetenču, prasmju un ekosistēmas stiprināšana Latvijā" (turpmāk – projekts) īstenošanai Eiropas Komisijas programmas "Digitālā Eiropa" 3. mērķa "Kiberdrošība un uzticēšanās"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īstenošanai nepieciešamo finansējumu (nacionālā līdzfinansējuma (tai skaitā netiešo izmaksu finansējuma) un priekšfinansējuma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pēc īstenotā projekta noslēguma maksājumu saņemšanas nodrošināt līdzekļu ieskaitīšanu valsts pamatbudžeta ieņēmumos, lai valsts budžetā atmaksātu saņemto un izlietoto valsts budžeta priekšfinansējumu no 74. resora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26-TA-1101</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26-TA-1101</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rīkojuma_projekts_26-TA-1101.docx</dc:title>
</cp:coreProperties>
</file>

<file path=docProps/custom.xml><?xml version="1.0" encoding="utf-8"?>
<Properties xmlns="http://schemas.openxmlformats.org/officeDocument/2006/custom-properties" xmlns:vt="http://schemas.openxmlformats.org/officeDocument/2006/docPropsVTypes"/>
</file>