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martā (prot. Nr. 13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34.panta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 (Latvijas Vēstnesis, 2006, 8., 163. nr.; 2009, 205. nr.; 2011, 102. nr.; 2012, 188. nr.; 2013, 169. nr.; 2016, 67. nr.; 2018, 43. nr.; 2022, 14.,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cilvēka asiņu un asins komponentu savākšanas, testēšanas, apstrādes, uzglabāšanas un izplatīšanas kvalitātes un drošības standartiem, ievešanas un izvešanas nosacījumiem, kā arī kompensāciju par izdevumiem zaudētā asins apjoma atjaunošanai".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savākšanas, testēšanas, apstrādes, uzglabāšanas un izplatīšanas kvalitātes un drošības standartus no donora iegūtām nesadalītām asinīm, kas ir apstrādātas pārliešanai vai turpmākai ražošanai (turpmāk – asinis), un asins terapeitiskām sastāvdaļām, kuras izgatavo, izmantojot dažādas metodes (turpmāk – asins komponenti), un kas paredzētas asins pārliešanai pašam donoram vai kādai citai personai, lietošanai medicīnas ierīcēs vai par zāļu izejvielām, to ievešanas un izvešanas nosacījumus, kā arī kompensāciju par izdevumiem zaudētā asins apjoma atjaunošanai."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Cilvēka asinis un asins komponentus valstī neieved un no valsts neizved, izņemot ievešanu un izvešanu šo noteikumu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 </w:t>
      </w:r>
      <w:r w:rsidR="00000000" w:rsidRPr="00000000" w:rsidDel="00000000">
        <w:rPr>
          <w:rtl w:val="0"/>
        </w:rPr>
        <w:t xml:space="preserve">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 valsts var izvest par valsts budžeta līdzekļiem sagatavotas asinis un asins komponentus asins pagatavojumu ražošanai. Asins pagatavojumu ražošanai primāri izmanto valstī iegūtu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Izņēmuma gadījumā, pamatojoties uz atsevišķu lēmumu, Valsts asinsdonoru centrs nodrošina cilvēka asiņu un asins komponentu ievešanu valstī vai to izvešanu no valsts."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22-TA-742</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22-TA-742</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noteikumu_(grozījumu)_projekts_22-TA-742.docx</dc:title>
</cp:coreProperties>
</file>

<file path=docProps/custom.xml><?xml version="1.0" encoding="utf-8"?>
<Properties xmlns="http://schemas.openxmlformats.org/officeDocument/2006/custom-properties" xmlns:vt="http://schemas.openxmlformats.org/officeDocument/2006/docPropsVTypes"/>
</file>