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 prioritātes "Nodarbinātība un sociālā iekļaušana" 4.3.6. specifiskā atbalsta mērķa "Veicināt nabadzības vai sociālās atstumtības riskam pakļauto cilvēku, tostarp vistrūcīgāko un bērnu, sociālo integrāciju" 4.3.6.8. pasākumu "IKT sistēmu modernizācija labākas bērnu tiesību aizsardzības sistēmas nodrošināšanai"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izstrādāt vienotu risku analīzes un vadības informācijas sistēmu agrīnai bērnu attīstības vajadzību identificēšanai, koordinētai nepieciešamo veselības aprūpes un agrīnās intervences pakalpojumu, kā arī atbalsta pasākumu izglītības vidē plānošanai un nodrošināšanas uzraudzībai.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tiešās valsts pārvaldes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valsts pārvaldes iestādes, kas saņēmušas atbalstu līdz 2024. gada 31. decembrim, – 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valsts pārvaldes iestādes, kas saņēmušas atbalstu līdz 2029. gada 31. decembrim, – 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līdz 2029. gada 31. decembrim sasniedzams šāds rezultāta rādītājs: iestāžu skaits, kuras sniedz datus un izmanto risku analīzes un vadības informācijas sistēmu agrīnā preventīvā atbalsta vajadzību noteikšanai, – 363.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Eiropas Savienības fondu vadībā iesaistītās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kopējais finansējums ar elastības finansējumu ir 4 350 000 </w:t>
      </w:r>
      <w:r w:rsidR="00000000" w:rsidRPr="00000000" w:rsidDel="00000000">
        <w:rPr>
          <w:i w:val="1"/>
          <w:rtl w:val="0"/>
        </w:rPr>
        <w:t xml:space="preserve">euro</w:t>
      </w:r>
      <w:r w:rsidR="00000000" w:rsidRPr="00000000" w:rsidDel="00000000">
        <w:rPr>
          <w:rtl w:val="0"/>
        </w:rPr>
        <w:t xml:space="preserve">, tai skaitā Eiropas Sociālā fonda Plus finansējums – 3 697 500 </w:t>
      </w:r>
      <w:r w:rsidR="00000000" w:rsidRPr="00000000" w:rsidDel="00000000">
        <w:rPr>
          <w:i w:val="1"/>
          <w:rtl w:val="0"/>
        </w:rPr>
        <w:t xml:space="preserve">euro </w:t>
      </w:r>
      <w:r w:rsidR="00000000" w:rsidRPr="00000000" w:rsidDel="00000000">
        <w:rPr>
          <w:rtl w:val="0"/>
        </w:rPr>
        <w:t xml:space="preserve">un valsts budžeta finansējums – 652 500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pasākumam pieejamais kopējais finansējums līdz 2025. gada 31. decembrim, lai slēgtu līgumus par projektu īstenošanu, ir 3 663 679 </w:t>
      </w:r>
      <w:r w:rsidR="00000000" w:rsidRPr="00000000" w:rsidDel="00000000">
        <w:rPr>
          <w:i w:val="1"/>
          <w:rtl w:val="0"/>
        </w:rPr>
        <w:t xml:space="preserve">euro</w:t>
      </w:r>
      <w:r w:rsidR="00000000" w:rsidRPr="00000000" w:rsidDel="00000000">
        <w:rPr>
          <w:rtl w:val="0"/>
        </w:rPr>
        <w:t xml:space="preserve">, tai skaitā Eiropas Sociālā fonda Plus finansējums 3 114 127 </w:t>
      </w:r>
      <w:r w:rsidR="00000000" w:rsidRPr="00000000" w:rsidDel="00000000">
        <w:rPr>
          <w:i w:val="1"/>
          <w:rtl w:val="0"/>
        </w:rPr>
        <w:t xml:space="preserve">euro </w:t>
      </w:r>
      <w:r w:rsidR="00000000" w:rsidRPr="00000000" w:rsidDel="00000000">
        <w:rPr>
          <w:rtl w:val="0"/>
        </w:rPr>
        <w:t xml:space="preserve">un valsts budžeta finansējums 549 552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no 2026. gada 1. janvāra pēc Eiropas Komisijas lēmuma par vidusposma pārskatu var ierosināt palielināt pasākumam pieejamo kopējo finansējumu, palielinot par projekta īstenošanu noslēgto līgumu kopsummu līdz šo noteikumu </w:t>
      </w:r>
      <w:r w:rsidR="00000000" w:rsidRPr="00000000" w:rsidDel="00000000">
        <w:rPr>
          <w:rtl w:val="0"/>
        </w:rPr>
        <w:t xml:space="preserve">7.</w:t>
      </w:r>
      <w:r w:rsidR="00000000" w:rsidRPr="00000000" w:rsidDel="00000000">
        <w:rPr>
          <w:rtl w:val="0"/>
        </w:rPr>
        <w:t xml:space="preserve"> punktā minētajam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ir 85 procenti no pasākumam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kanceleja, kura saskaņā ar Valsts kancelejas nolikumu īsteno mērķi – nodrošināt valsts ilgtermiņa attīstības plānošanu un koordināciju.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projekta īstenošanā var piesaistīt sadarbības partnerus – valsts pārvaldes iestādes, valsts kapitālsabiedrības, pašvaldību iestādes un citas iestādes, kuras sekmētu šo noteikumu </w:t>
      </w:r>
      <w:r w:rsidR="00000000" w:rsidRPr="00000000" w:rsidDel="00000000">
        <w:rPr>
          <w:rtl w:val="0"/>
        </w:rPr>
        <w:t xml:space="preserve">2.</w:t>
      </w:r>
      <w:r w:rsidR="00000000" w:rsidRPr="00000000" w:rsidDel="00000000">
        <w:rPr>
          <w:rtl w:val="0"/>
        </w:rPr>
        <w:t xml:space="preserve"> punktā minētā pasākuma mērķa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pieņem lēmumu par finansējuma piešķiršanu vai nepiešķiršanu sadarbības partnerim, kā arī uzrauga piešķirtā finansējuma lietderīgu un tiesisku izlietošanu atbilstoši projekta mērķiem.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ar sadarbības partneri slēdz sadarbības līgumu atbilstoši normatīvajiem aktiem par kārtību, kādā Eiropas Savienības fondu vadībā iesaistītās institūcijas nodrošina Eiropas Savienības fondu ieviešanu 2021.–2027. gada plānošanas periodā. Sadarbības līgums nosaka savstarpējo atbildību, funkcijas, finansēšanas mehānismu, pārskatu sniegšanas kārtību un pienākumus projekta sekmīgai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līdz projekta iesnieguma iesniegšanas dienai nav noslēgts sadarbības līgums,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šo noteikumu </w:t>
      </w:r>
      <w:r w:rsidR="00000000" w:rsidRPr="00000000" w:rsidDel="00000000">
        <w:rPr>
          <w:rtl w:val="0"/>
        </w:rPr>
        <w:t xml:space="preserve">16.</w:t>
      </w:r>
      <w:r w:rsidR="00000000" w:rsidRPr="00000000" w:rsidDel="00000000">
        <w:rPr>
          <w:rtl w:val="0"/>
        </w:rPr>
        <w:t xml:space="preserve"> 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norēķini ar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sagatavo un iesniedz attiecināmās izmaksas pamatojošos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ir konstatējusi Centrālā finanšu un līgumu aģentūra (turpmāk – sadarbības iestāde), un iespējami neatbilstoši veiktos izdevumus, kurus ir konstatējis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 Ja sadarbības iestāde apstiprina projekta iesniegumu, projekta iesniedzējs ir arī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finansējuma saņēmējam un sadarbības partnerim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klientu un lietotāju vajadzību izpēte;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sniegšanas procesu un darbību dizains, pārveide, pilnveide un pielāgošana digitalizācijai;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kvalitātes pilnveide un datu atkalizmantošanas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funkcionālo un nefunkcionālo prasību un arhitektūras apraksta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izstrādes tehniskās specifikācijas un iepirkuma dokumentācijas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un tās moduļu izstrāde, attīstība, pilotēšana, ieviešana un savietošana ar citām informācijas sistēmām, t. sk. esošu saskarņu pārveidošana un jaunu saskarņu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tehnikas un programmatūras noma un pakalpojumu izmantošana (izņemot iegādi) informācijas sistēmas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autoruzraudzība informācijas sistēmas izstrādes un ieviešanas gaitā, t. sk. sistēmas funkcionālo prasību izpildes pārbaude, sistēmas nefunkcionālo prasību pārbaude, projekta nodevumu pārbaude u. tml.;</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sistēmas lietotāju apmācību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tiešās attiecināmās personāla izmaksas (projekta vadības un projekta īstenošanas personāla atlīdzības izmaksas), izņemot virsstundas, šo noteikumu </w:t>
      </w:r>
      <w:r w:rsidR="00000000" w:rsidRPr="00000000" w:rsidDel="00000000">
        <w:rPr>
          <w:rtl w:val="0"/>
        </w:rPr>
        <w:t xml:space="preserve">16.12.</w:t>
      </w:r>
      <w:r w:rsidR="00000000" w:rsidRPr="00000000" w:rsidDel="00000000">
        <w:rPr>
          <w:rtl w:val="0"/>
        </w:rPr>
        <w:t xml:space="preserve"> apakšpunktā minētās atbalstāmās darbības īstenošanai atbilstoši atbildīgās iestādes apstiprinātajai vienkāršoto izmaksu metodikai, kas izstrādāta saskaņā ar Vadlīnijām par vienkāršoto izmaksu izmantošanas iespējām un to piemērošanu Eiropas Savienības kohēzijas politikas programmas 2021.–2027. gada plānošanas perioda ietvaros un saskaņota ar Finanšu ministriju (turpmāk – vadošā iestāde). Līdz metodikas apstiprināšanai tiek piemērota personāla izmaksu vienotā likme 20 procentu apmērā no šo noteikumu </w:t>
      </w:r>
      <w:r w:rsidR="00000000" w:rsidRPr="00000000" w:rsidDel="00000000">
        <w:rPr>
          <w:rtl w:val="0"/>
        </w:rPr>
        <w:t xml:space="preserve">18.2.</w:t>
      </w:r>
      <w:r w:rsidR="00000000" w:rsidRPr="00000000" w:rsidDel="00000000">
        <w:rPr>
          <w:rtl w:val="0"/>
        </w:rPr>
        <w:t xml:space="preserve"> apakšpunktā minētajām pārējām projekta īstenošanas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ieviešanas dokumentācijas izstrādes izmaksas, t. sk. autoruzraudzības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un biznesa prasību specifikāciju izstrādes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projektēšanas, izstrādes vai iegādes un datu pārvaldības ieviešanas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projekta izmaksas, tai skaitā informācijas sistēmas arhitektūras, lietotāju saskarnes un citu nepieciešamo projektu izstrāde, saskaņā ar izvēlēto izstrādes metodi;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un tās atsevišķo moduļu programmatūras izstrādes vai iegādes izmaksas, tai skaitā integrācijas saskarņu izstrādes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sistēmas licenču iegādes izmaksas, t. sk. atjauninājumu izmaksas licenču darbības periodā;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programmatūras lietotāja un administratora lietošanas atbalsta materiālu, t. sk. interaktīvu materiālu un rokasgrāmatu, izstrādes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importa un migrācijas izmaksas, tai skaitā datu semantiskās un tehniskās savietojamības nodrošināšanas izmaksas, datu strukturēšanas un datu bagātināšanas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materiālu izstrādes un apmācību nodrošināšanas izmaksas informācijas sistēmas administratoriem un lietotājiem, kuri, izmantojot informācijas sistēmu, nodrošina pakalpojumu sniegšanu;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kvalitātes auditu un datu kvalitātes uzlabojumu veikšanas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ietvaros izveidotas informācijas sistēmas uzturēšanas izmaksas no tās izstrādes dienas projekta aktivitāšu apjomā, tai skaitā informācijas un komunikācijas tehnoloģiju ārpakalpojumu izmantošanas izmaksas informācijas sistēmas darbības nodrošināšanai projekta īstenošanas laikā;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tehnoloģiju risinājuma koda attīrīšanas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saņēmējiem un sadarbības partneriem projekta mērķu un rādītāju sasniegšanai nepieciešamās informācijas un komunikācijas tehnoloģiju aparatūras un iekārtu iegādes vai nomas maksa, kā arī biroja aprīkojuma izmaksas, nepārsniedzot trīs procentus no projektā paredzēto darbību veikšanai paredzētajām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tai skaitā mākoņdatošanas un saistīto pakalpojumu izmaksas informācijas sistēmu izstrādes un ieviešanas nodrošināšanai projekta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tai skaitā testēšanas izmaksas un informācijas sistēmas ieviešanas autoruzraudzības un projekta dokumentācijas izstrādes un aktualizācijas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ietvaros pilnveidojamo informācijas sistēmu audita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lietotāju un klientu vajadzību analīzes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pasniedzēju, konsultantu, ekspertu un citu speciālistu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informatīvo un publicitātes pasākumu īstenošanas izmaksas, lai izplatītu informāciju par projekta ietvaros radītās informācijas sistēmas darbību un ar to saistīto pakalpojumu sniegšanu lietotājiem un klientiem;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projekta darbībām tieši saistīto publicitātes pasākumu izmaksas atbilstoši normatīvajiem aktiem par Eiropas Savienības fondu ieviešanu 2021.–2027. gada plānošanas periodā;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ārvalstu komandējumu izmaksas projekta vadības un īstenošanas personālam un iekšzemes komandējumu, darba braucienu izmaksas, kā arī mācību maksa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rezultātu audita vai revīzijas izmaksas, ko veic finansējuma saņēmējs, neatkarīgs revidents vai iekšējais auditors, lai pārliecinātos par projekta ietvaros veikto izmaksu pamatotību, kā arī sasniegto rezultātu atbilstību;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bet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 sk. sadarbības partnera personāls, ir nodarbināts projektā vismaz 30 procentu apmērā no normālā darba laika uz darba līguma pamata. Ja projekta vadības un īstenošanas personāls, t. sk. sadarbības partnera personāls, ir nodarbināts nepilnu darba laiku vai daļlaiku, darba vietas aprīkojuma izmaksas ir attiecināmas proporcionāli atlīdzības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atbilstoši vadošās iestādes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redzes korekcijas līdzekļu kompensācija, veselības apdrošināšana projekta vadības un projekta īstenošanas personālam, t. sk. sadarbības partnera personālam, ja veselības apdrošināšana paredzēta finansējuma saņēmēja un sadarbības partnera iestādē. Ja projekta vadības un projekta īstenošanas personāls, t. sk. sadarbības partnera personāls, ir nodarbināts normālu darba laiku, veselības apdrošināšanas izmaksas ir attiecināmas 100 procentu apmērā. Ja projekta vadības un projekta īstenošanas personāls, t. sk. sadarbības partnera personāls, ir nodarbināts nepilnu darba laiku, veselības apdrošināšanas izmaksas nosakāmas atbilstoši nepilnā darba laika noslodzei. Ja projekta vadības un projekta īstenošanas personāla, t. sk. sadarbības partnera personāla, atlīdzībai piemēro daļlaika attiecināmības principu, veselības apdrošināšanas izmaksas nosakāmas proporcionāli atlīdzības procentuālajam sadalījumam. Veselības apdrošināšanas izmaksas ir attiecināmas tikai uz laiku, kad projekta vadības un projekta īstenošanas personāls, t. sk. sadarbības partnera personāls, ir nodarbināts projektā šo noteikumu </w:t>
      </w:r>
      <w:r w:rsidR="00000000" w:rsidRPr="00000000" w:rsidDel="00000000">
        <w:rPr>
          <w:rtl w:val="0"/>
        </w:rPr>
        <w:t xml:space="preserve">16.</w:t>
      </w:r>
      <w:r w:rsidR="00000000" w:rsidRPr="00000000" w:rsidDel="00000000">
        <w:rPr>
          <w:rtl w:val="0"/>
        </w:rPr>
        <w:t xml:space="preserve"> punktā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attiecināmās izmaksas ir pievienotās vērtības nodokļa maksājumi, kas tiešā veidā saistīti ar projektu, ja tās nav atgūstamas nodokļu politiku reglamentējošajos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minētās izmaksas (atalgojums un darba devēja valsts sociālās apdrošināšanas obligātās iemaksas, pabalsti un kompensācijas atbilstoši finansējuma saņēmēja personāla politikai, izņemot virsstundas) var tikt attiecinātas, pamatojoties uz uzņēmuma līgumu, darba līgumu vai rīkojumu par pretendenta iecelšanu ierēdņa amatā. Ja projekta vadības un īstenošanas personāla iesaiste projektā ir nodrošināta  saskaņā ar daļlaika attiecināmības principu, attiecināma ir ne mazāka kā 30 procentu noslodze no normāla darba laika. Projekta vadības un īstenošanas personāla atlīdzības izmaksas, kas ietver projekta vadībā un īstenošanā iesaistīto ekspertu atalgojumu atbilstoši Valsts un pašvaldību institūciju amatpersonu un darbinieku atlīdzības likuma nosacījumiem ir attiecināmas, ja tās radušās, pamatojoties uz darba līgumu, kas noslēgts uz noteiktu laiku, vienošanos vai rīkojumu par papildu pienākumu veikšanu projekta īstenošanas laikā, vai uz uzņēmuma līgumu, ir nepieciešamas projekta mērķu sasniegšanai un to apliecina terminēto darba līgumu amata apraksts, uzņēmuma līgumu darba uzdevums vai vienošanās par papildu pienākumu veikšanu saturs, bet papildu pienākumu veikšanas gadījumā – arī šo papildu pienākumu izpildei veltītā darba laika uzskaite.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18.1.</w:t>
      </w:r>
      <w:r w:rsidR="00000000" w:rsidRPr="00000000" w:rsidDel="00000000">
        <w:rPr>
          <w:rtl w:val="0"/>
        </w:rPr>
        <w:t xml:space="preserve"> apakšpunktā minētajām tiešajām attiecināmajām personāla izmaksām, un to aprēķina tikai tām izmaksām, kas radušās uz darba līguma pamata vai ar rīkojumu ieceļot pretendentu valsts civildienesta ierēdņa amatā. Projekta netiešajām attiecināmajām izmaksām piemēro vienotās likmes metodi, neiesniedzot sadarbības iestādei izmaksas pamatojošos dokumentus par netiešo izmaksu izlietojumu.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 minētās neparedzētās izmaksas projektā plāno kā vienu izdevumu pozīciju un izlieto papildu darbu vai pakalpojumu veikšanai, kas neparedzamu apstākļu dēļ ir kļuvuši nepieciešami (izņemot sadārdzinājumu), lai varētu nodrošināt par projekta īstenošanu noslēgto līgumu izpildi, ja finansējuma saņēmējs veicis visus plānošanas pasākumus, lai šādus izdevumus novērstu. Neparedzētās izmaksas nepārsniedz divus procentus no šo noteikumu </w:t>
      </w:r>
      <w:r w:rsidR="00000000" w:rsidRPr="00000000" w:rsidDel="00000000">
        <w:rPr>
          <w:rtl w:val="0"/>
        </w:rPr>
        <w:t xml:space="preserve">17.1.</w:t>
      </w:r>
      <w:r w:rsidR="00000000" w:rsidRPr="00000000" w:rsidDel="00000000">
        <w:rPr>
          <w:rtl w:val="0"/>
        </w:rPr>
        <w:t xml:space="preserve"> apakšpunktā minētajām tiešajām izmaksām, un to izlietošanu finansējuma saņēmējs saskaņo ar sadarbības iestādi, ievērojot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vadības un projekta īstenošanas personāls organizācijā veic pienākumus, kas ir saistīti ne tikai ar projektu, bet arī ar konkrētās organizācijas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un projekta īstenošanas personāla darba laika uzskaite, ievērojot, ka izmaksas no Eiropas Sociālā fonda Plus ir tiešās attiecināmās izmaksas, ja darbinieks projektā nodarbināts vismaz 30 procentus no kopējās noslodzes.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saņēmējam projekta izmaksas ir attiecināmas no 2023.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14.</w:t>
      </w:r>
      <w:r w:rsidR="00000000" w:rsidRPr="00000000" w:rsidDel="00000000">
        <w:rPr>
          <w:rtl w:val="0"/>
        </w:rPr>
        <w:t xml:space="preserve"> punktā minētā sadarbības līguma noslēgšanas, bet ne agrāk kā no 2023. gada 1. janvāra.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16.</w:t>
      </w:r>
      <w:r w:rsidR="00000000" w:rsidRPr="00000000" w:rsidDel="00000000">
        <w:rPr>
          <w:rtl w:val="0"/>
        </w:rPr>
        <w:t xml:space="preserve"> punktā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 gada plānošanas periodā, kā arī ievēro Eiropas Savienības fondu 2021.–2027. gada plānošanas perioda komunikācijas un dizaina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visas preces un pakalpojumi tiks iepirkti, ievērojot publiskā iepirkuma procedūru regulējošos normatīvos aktus;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vispārīgas un specifiskas horizontālā principa "Vienlīdzība, iekļaušana, nediskriminācija un pamattiesību ievērošana" darbības, kas veicina vienlīdzību, iekļaušanu, diskriminācijas novēršanu un pamattiesību ievērošanu, kā arī rādītāju uzkrāšanu un ziņošanu;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4.</w:t>
      </w:r>
      <w:r w:rsidR="00000000" w:rsidRPr="00000000" w:rsidDel="00000000">
        <w:rPr>
          <w:rtl w:val="0"/>
        </w:rPr>
        <w:t xml:space="preserve"> punktā minēto specifisko projekta līmeņa iznākuma rādītāju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 un nodrošinot demarkāciju ar citiem līdzīgiem vai saistītiem projektiem.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pasākuma mērķa, tā iznākuma radītāju vai rezultāta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līgumā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23-TA-1129</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23-TA-1129</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noteikumu_projekts_23-TA-1129.docx</dc:title>
</cp:coreProperties>
</file>

<file path=docProps/custom.xml><?xml version="1.0" encoding="utf-8"?>
<Properties xmlns="http://schemas.openxmlformats.org/officeDocument/2006/custom-properties" xmlns:vt="http://schemas.openxmlformats.org/officeDocument/2006/docPropsVTypes"/>
</file>