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regulējamiem sabiedrisko pakalpojumu veidiem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 panta ceturto daļu</w:t>
      </w:r>
      <w:r>
        <w:br/>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to sabiedrisko pakalpojumu veidus regulējamās nozarēs, kuru sniegšanu nepieciešams regulēt.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ražošanu elektro­stacijās, kuru uzstādītā elektriskā jau­da ir lielāka par vienu megavatu;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ražošanu koģenerācijā, kur koģenerācijas iekārtu kopējā uzstādītā elektriskā jauda koģenerācijas stacijā ir lielāka par vienu megavatu;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elektroenerģijas pārvadi, ja spriegums ir 110 kilovoltu un lielāks;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sadali, ja spriegums ir lielāks par vienu kilovoltu un nepārsniedz 110 kilovoltus;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elektroenerģijas tirdzniecību jebkuriem enerģijas lietotājiem;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pieprasījuma reakcijas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elektroenerģijas uzkrāšanu elektroenerģijas uzkrātuvēs, kuru uzstādītā elektroenerģijas ražošanas jauda ir lielāka par vienu megavatu, izņemot elektroenerģijas pārvades sistēmas operatoram vai elektroenerģijas sadales sistēmas operatoram piederošās elektroenerģijas uzkrātuves.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15.03.2011. noteikumiem Nr. 205; MK 24.02.2015. noteikumiem Nr. 94; MK 06.09.2016. noteikumiem Nr. 595; MK 04.06.2019. noteikumiem Nr. 231)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siltumenerģijas ražošanu (arī koģenerācijā) iekārtās ar kopējo uzstādīto siltuma jaudu, kas lielāka par vienu megavatu, ja centralizētajā siltumapgādes sistēmā nodotais siltumenerģijas apjoms pārsniedz 5 000 megavatstundu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siltumenerģijas pārvadi un sadali galalietotājiem, ja starp tiem ir mājsaimniecības lietotāji un ja kopējais pārvadītās un sadalītās siltumenerģijas apjoms pārsniedz 5000 megavatstundu gadā, izņemot gadījumus, ja autonomā ražotāja vai neatkarīgā ražotāja saražoto siltumenerģiju piegādā līdz regulējamā siltumapgādes sistēmas operatora siltumtīkliem;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siltumenerģijas tirdzniecību enerģijas lietotājiem, ja tirgoto siltumenerģiju piegādā pa regulējamā siltumapgādes sistēmas operatora siltumtīkliem.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04.06.2019. noteikumu Nr. 231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Aukstumapgādē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dzesēšanai nepieciešamās enerģijas (aukstumenerģijas) ražošanu iekārtās ar kopējo uzstādīto dzesēšanai nepieciešamās enerģijas (aukstumenerģijas) ražošanas jaudu, kas lielāka par vienu megavatu, ja centralizētajā aukstumapgādes sistēmā nodotais dzesēšanai nepieciešamās enerģijas (aukstumenerģijas) apjoms pārsniedz 5000 megavatstundu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dzesēšanai nepieciešamās enerģijas (aukstumenerģijas) pārvadi un sadali galalietotājiem, ja starp tiem ir mājsaimniecības lietotāji un kopējais pārvadītās un sadalītās dzesēšanai nepieciešamās enerģijas (aukstumenerģijas) apjoms pārsniedz 5000 megavatstundu gadā, izņemot gadījumus, ja autonomā ražotāja vai neatkarīgā ražotāja saražoto dzesēšanai nepieciešamo enerģiju (aukstumenerģiju) piegādā līdz regulējamā aukstumapgādes sistēmas operatora tīkliem;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dzesēšanai nepieciešamās enerģijas (aukstumenerģijas) tirdzniecību enerģijas lietotājiem, ja tirgoto dzesēšanai nepieciešamo enerģiju (aukstumenerģiju) piegādā pa regulējamā aukstumapgādes sistēmas operatora tīkliem.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Dabasgāzes apgādē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dabasgāzes pārvadi pa cauruļvadiem;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tirdzniecībai paredzētās dabasgāzes uzglabāšanu tvertnēs vai krātu­vēs;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dabasgāzes sadali;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dabasgāzes tirdzniecību jebkuriem enerģijas lietotājiem, izņemot da­bas­gāzes tirdzniecību automobiļu gāzes uzpildes kompresoru stacijās;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dabasgāzes sašķidrināšanu vai sašķidrinātās dabasgāzes saņemšanu, izkraušanu, uzglabāšanu un pārvēršanu gāzveida stāvoklī turpmākai ievadīšanai nacionālajā dabasgāzes ieejas-izejas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dabasgāzes ieguvi, izņemot sašķidrināto dabasgāzi, turpmākai ievadīšanai nacionālajā dabasgāzes ieejas-izejas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24.02.2015. noteikumiem Nr.94)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(Svītrots ar MK 27.12.2011. noteikumiem Nr.1029)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Elektronisko sakaru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balss sakaru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īsziņu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interneta piekļuves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pārraides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radio programmu izplatīšanas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televīzijas programmu izplatīšanas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piekļuvi;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starpsavienojumu;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nomāto līniju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Pasta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tradicionālos 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kurjerpasta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eksprespasta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abonēto preses izdevumu piegādi un ar to saistītos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24.02.2015. noteikumiem Nr.94)</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04.10.2022. noteikumiem Nr. 615)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26.04.2016. noteikumiem Nr. 259)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Ūdenssaimniecības nozarē nepieciešams regulēt šādu sabiedrisko ūdenssaimniecības pakalpojumu veidu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komersanta sniegto sabiedrisko ūdenssaimniecības pakalpojumu apjoms vismaz vienā veidā pārsniedz 100 000 m</w:t>
      </w:r>
      <w:r w:rsidR="00000000" w:rsidRPr="00000000" w:rsidDel="00000000">
        <w:rPr>
          <w:vertAlign w:val="superscript"/>
          <w:rtl w:val="0"/>
        </w:rPr>
        <w:t xml:space="preserve">3</w:t>
      </w:r>
      <w:r w:rsidR="00000000" w:rsidRPr="00000000" w:rsidDel="00000000">
        <w:rPr>
          <w:rtl w:val="0"/>
        </w:rPr>
        <w:t xml:space="preserve">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ūdens ieguvi, uzkrāšanu un sagatavošanu lietošanai līdz padevei centralizētajā ūdensvada tīklā;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ūdens piegādi no padeves vietas centralizētajā ūdensvada tīklā līdz piederības robežai;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savākšanu centralizētajās kanalizācijas sistēmās no piederības robežas un novadīšanu līdz notekūdeņu attīrīšanas iekārtām;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attīrīšanu un novadīšanu vidē, tai skaitā virszemes ūdensobjektos;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notekūdeņu attīrīšanas procesā radušos notekūdeņu dūņu apstrādi, pārstrādi un sagatavošanu utilizācijai, ja minētie pakalpojumi neatbilst šo noteikumu </w:t>
      </w:r>
      <w:r w:rsidR="00000000" w:rsidRPr="00000000" w:rsidDel="00000000">
        <w:rPr>
          <w:rtl w:val="0"/>
        </w:rPr>
        <w:t xml:space="preserve">9.2.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notekūdeņu dūņu apsaimniekošanas reģionālajā centrā veiktajā notekūdeņu attīrīšanas procesā radušos notekūdeņu dūņu apstrādi, pārstrādi un sagatavošanu utilizācijai, ja komersants šos pakalpojumus atsevišķi sniedz sabiedrisko ūdenssaimniecības pakalpojumu sniedzējam.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Sadzīves atkritumu apsaimniekošanas nozarē nepieciešams regulēt: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nešķirotu sadzīves atkritumu apstrādi;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sadzīves atkritumu apglabāšanu atkritumu poligonos, ja apglabāšanai pieņem no nešķirotiem sadzīves atkritumiem atšķirotus un apglabājamus atkritumus.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25.06.2024. noteikumu Nr. 400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Depozīta iepakojuma apsaimniekošanas nozarē nepieciešams regulēt depozīta sistēmas operatora depozīta sistēmas nodrošināšanas pakalpojumu.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21.04.2020. noteikumu Nr. 229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 </w:t>
      </w:r>
      <w:r w:rsidR="00000000" w:rsidRPr="00000000" w:rsidDel="00000000">
        <w:rPr>
          <w:rtl w:val="0"/>
        </w:rPr>
        <w:t xml:space="preserve">apakšpunkts</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un </w:t>
      </w:r>
      <w:r w:rsidR="00000000" w:rsidRPr="00000000" w:rsidDel="00000000">
        <w:rPr>
          <w:rtl w:val="0"/>
        </w:rPr>
        <w:t xml:space="preserve">4.6. </w:t>
      </w:r>
      <w:r w:rsidR="00000000" w:rsidRPr="00000000" w:rsidDel="00000000">
        <w:rPr>
          <w:rtl w:val="0"/>
        </w:rPr>
        <w:t xml:space="preserve">apakšpunkts</w:t>
      </w:r>
      <w:r w:rsidR="00000000" w:rsidRPr="00000000" w:rsidDel="00000000">
        <w:rPr>
          <w:rtl w:val="0"/>
        </w:rPr>
        <w:t xml:space="preserve"> stājas spēkā 2026.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Atzīt par spēku zaudējušiem Ministru kabineta 2001.gada 3.jūlija noteikumus Nr.297 “Noteikumi par regulējamiem sabiedrisko pakalpojumu veidiem” (Latvijas Vēstnesis, 2001, 108.nr.; 2002, 40.nr.; 2005, 12.nr.; 2008, 1., 113.nr.).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04.10.2022. noteikumu Nr. 615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Šajos noteikumos iekļautas tiesību normas, kas izriet no Eiropas Parlamenta un Padomes 2018. gada 11. decembra Direktīvas Nr. </w:t>
      </w:r>
      <w:r w:rsidR="00000000" w:rsidRPr="00000000" w:rsidDel="00000000">
        <w:rPr>
          <w:rtl w:val="0"/>
        </w:rPr>
        <w:t xml:space="preserve">2018/1972/ES</w:t>
      </w:r>
      <w:r w:rsidR="00000000" w:rsidRPr="00000000" w:rsidDel="00000000">
        <w:rPr>
          <w:rtl w:val="0"/>
        </w:rPr>
        <w:t xml:space="preserve"> par Eiropas Elektronisko sakaru kodeksa izveidi.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25-TA-406</w:t>
    </w:r>
    <w:r>
      <w:br/>
    </w:r>
    <w:r w:rsidR="00000000" w:rsidRPr="00000000" w:rsidDel="00000000">
      <w:rPr>
        <w:rtl w:val="0"/>
      </w:rPr>
      <w:t xml:space="preserve">Izdrukāts 29.07.2026. 22.56 - 1.0.VK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25-TA-406</w:t>
    </w:r>
    <w:r>
      <w:br/>
    </w:r>
    <w:r w:rsidR="00000000" w:rsidRPr="00000000" w:rsidDel="00000000">
      <w:rPr>
        <w:rtl w:val="0"/>
      </w:rPr>
      <w:t xml:space="preserve">Izdrukāts 29.07.2026. 22.56 - 1.0.VK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noteikumu_konsolidētā_versija_25-TA-406.docx</dc:title>
</cp:coreProperties>
</file>

<file path=docProps/custom.xml><?xml version="1.0" encoding="utf-8"?>
<Properties xmlns="http://schemas.openxmlformats.org/officeDocument/2006/custom-properties" xmlns:vt="http://schemas.openxmlformats.org/officeDocument/2006/docPropsVTypes"/>
</file>