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188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22. martā (prot. Nr. 17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9. aprīļa noteikumos Nr. 154 "Piemērojamais elektroniskā rēķina standarts un tā pamatelementu izmantošanas specifikācija un aprites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</w:t>
      </w:r>
      <w:r w:rsidR="00000000" w:rsidRPr="00000000" w:rsidDel="00000000">
        <w:rPr>
          <w:rStyle w:val="paragraph"/>
          <w:i w:val="1"/>
          <w:rtl w:val="0"/>
        </w:rPr>
        <w:t xml:space="preserve"> Publisko iepirkumu likuma</w:t>
      </w:r>
      <w:r w:rsidR="00000000" w:rsidRPr="00000000" w:rsidDel="00000000">
        <w:rPr>
          <w:rStyle w:val="paragraph"/>
          <w:i w:val="1"/>
          <w:rtl w:val="0"/>
        </w:rPr>
        <w:t xml:space="preserve"> 83. pantu,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Sabiedrisko pakalpojumu sniedzēju iepirkumu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89. pantu,</w:t>
      </w:r>
      <w:r w:rsidR="00000000" w:rsidRPr="00000000" w:rsidDel="00000000">
        <w:rPr>
          <w:rStyle w:val="paragraph"/>
          <w:i w:val="1"/>
          <w:rtl w:val="0"/>
        </w:rPr>
        <w:t xml:space="preserve"> Aizsardzības un drošības jomas iepirkumu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7.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pirmo daļu un</w:t>
      </w:r>
      <w:r w:rsidR="00000000" w:rsidRPr="00000000" w:rsidDel="00000000">
        <w:rPr>
          <w:rStyle w:val="paragraph"/>
          <w:i w:val="1"/>
          <w:rtl w:val="0"/>
        </w:rPr>
        <w:t xml:space="preserve"> Publiskās un privātās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partnerības likuma</w:t>
      </w:r>
      <w:r w:rsidR="00000000" w:rsidRPr="00000000" w:rsidDel="00000000">
        <w:rPr>
          <w:rStyle w:val="paragraph"/>
          <w:i w:val="1"/>
          <w:rtl w:val="0"/>
        </w:rPr>
        <w:t xml:space="preserve"> 122. 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2019. gada 9. aprīļa noteikumos Nr. 154 "Piemērojamais elektroniskā rēķina standarts un tā pamatelementu izmantošanas specifikācija un aprites kārtība" (Latvijas Vēstnesis, 2019, 78.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Pasūtītājs, sabiedrisko pakalpojumu sniedzējs, kā arī publiskais partneris vai tā pārstāvis, kas ir tiešās pārvaldes iestāde, kā elektronisko rēķinu piegādes kanālu izmanto oficiālo elektronisko adresi.";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Ārvalstī reģistrēta vai pastāvīgi dzīvojoša persona elektronisko rēķinu iesniegšanai tiešās pārvaldes iestādē izmanto pārrobežu rēķinu piegādes sistēmu </w:t>
      </w:r>
      <w:r w:rsidR="00000000" w:rsidRPr="00000000" w:rsidDel="00000000">
        <w:rPr>
          <w:i w:val="1"/>
          <w:rtl w:val="0"/>
        </w:rPr>
        <w:t xml:space="preserve">Pan-European Public Procurement On-Line</w:t>
      </w:r>
      <w:r w:rsidR="00000000" w:rsidRPr="00000000" w:rsidDel="00000000">
        <w:rPr>
          <w:rtl w:val="0"/>
        </w:rPr>
        <w:t xml:space="preserve"> (PEPPOL) pēc attiecīgu grozījumu veikšanas starptautiskās aģentūras </w:t>
      </w:r>
      <w:r w:rsidR="00000000" w:rsidRPr="00000000" w:rsidDel="00000000">
        <w:rPr>
          <w:i w:val="1"/>
          <w:rtl w:val="0"/>
        </w:rPr>
        <w:t xml:space="preserve">Farance Inc.</w:t>
      </w:r>
      <w:r w:rsidR="00000000" w:rsidRPr="00000000" w:rsidDel="00000000">
        <w:rPr>
          <w:rtl w:val="0"/>
        </w:rPr>
        <w:t xml:space="preserve"> (</w:t>
      </w:r>
      <w:r w:rsidR="00000000" w:rsidRPr="00000000" w:rsidDel="00000000">
        <w:rPr>
          <w:i w:val="1"/>
          <w:rtl w:val="0"/>
        </w:rPr>
        <w:t xml:space="preserve">ISO maintenance agency for ISO/IEC 6523-2:1998</w:t>
      </w:r>
      <w:r w:rsidR="00000000" w:rsidRPr="00000000" w:rsidDel="00000000">
        <w:rPr>
          <w:rtl w:val="0"/>
        </w:rPr>
        <w:t xml:space="preserve">) uzturētajā ICD kodu reģistrā."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 gada 1. jūnijā.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21-TA-158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21-TA-158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