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Vides trokšņa robežlielumi un to novērtēšana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22.09.2015. noteikumiem Nr. 539; Satversmes tiesas 19.12.2017. spriedumu; MK 02.07.2019. noteikumiem Nr. 294)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Vides trokšņa robežlielumi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5305"/>
        <w:gridCol w:w="3485"/>
        <w:gridCol w:w="3485"/>
        <w:gridCol w:w="3485"/>
        <w:tblGridChange w:id="0">
          <w:tblGrid>
            <w:gridCol w:w="610"/>
            <w:gridCol w:w="5305"/>
            <w:gridCol w:w="3485"/>
            <w:gridCol w:w="3485"/>
            <w:gridCol w:w="34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Apbūves teritorijas izmantošanas funkcija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Trokšņa robežlielumi</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br/>
            </w:r>
            <w:r w:rsidR="00000000" w:rsidRPr="00000000" w:rsidDel="00000000">
              <w:rPr>
                <w:rtl w:val="0"/>
              </w:rPr>
              <w:t xml:space="preserve">(dB(A))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br/>
            </w:r>
            <w:r w:rsidR="00000000" w:rsidRPr="00000000" w:rsidDel="00000000">
              <w:rPr>
                <w:rtl w:val="0"/>
              </w:rPr>
              <w:t xml:space="preserve">(dB(A))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br/>
            </w:r>
            <w:r w:rsidR="00000000" w:rsidRPr="00000000" w:rsidDel="00000000">
              <w:rPr>
                <w:rtl w:val="0"/>
              </w:rPr>
              <w:t xml:space="preserve">(dB(A))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 (savrupmāju, mazstāvu vai viensētu) dzīvojamo māju, bērnu iestāžu, ārstniecības, veselības un sociālās aprūpes iestāžu apbūves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 (sabiedrisko un pārvaldes objektu teritorija, tai skaitā kultūras iestāžu, izglītības un zinātnes iestāžu, valsts un pašvaldību pārvaldes iestāžu un viesnīcu teritorija) (ar dzīvojamo apbūvi)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apbūves teritorija, tai skaitā tirdzniecības un pakalpojumu būvju teritorija (ar dzīvojamo apbūvi)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Klusie rajoni apdzīvotās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Aizsargjoslās gar autoceļiem (tai skaitā arī gar autoceļiem, uz kuriem satiksmes intensitāte ir mazāka nekā trīs miljoni transportlīdzekļu gadā), aizsargjoslās gar dzelzceļiem un teritorijās, kas atrodas tuvāk par 30 m no stacionāriem trokšņa avotiem, vides trokšņa robežlielumi uzskatāmi par mērķlielumiem.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Vides trokšņa robežlielumi ārpus telpām izvietotajām mototrasēm</w:t>
      </w:r>
      <w:r>
        <w:tab/>
      </w:r>
      <w:r>
        <w:br/>
      </w:r>
      <w:r w:rsidR="00000000" w:rsidRPr="00000000" w:rsidDel="00000000">
        <w:rPr>
          <w:b w:val="1"/>
          <w:rtl w:val="0"/>
        </w:rPr>
        <w:t xml:space="preserve">(Atzīts par spēkā neesošu ar Satversmes tiesas 19.12.2017. spriedumu, kas stājas spēkā 21.12.2017.)</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Vides trokšņa robežlielumu novērtēšanas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Vides trokšņa robežlielumu novērtēšanā ievēro Ministru kabineta 2014. gada 7. janvāra noteikumu Nr. 16 "Trokšņa novērtēšanas un pārvaldības kārtība" 1. pielikumā noteikto vides trokšņa rādītāju piemērošanas kārtību un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Vides trokšņa līmeņa atbilstību trokšņa robežlielumiem novērtē teritorijā, kura ietver dzīvojamo apbūvi, kas reģistrēta Nekustamā īpašuma valsts kadastra informācijas sistēmā kā apbūves zeme vai zeme zem dzīvojamo ēku pagalmiem, kā arī 2 m attālumā no fasādes, kura ir visvairāk pakļauta trokšņa iedarbībai.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Novērtējot vides trokšņa robežlielumus, ņem vērā pašvaldības teritorijas plānojumā noteikto galveno (primāro) teritorijas izmantošanas veidu, kas atbilst attiecīgajai šā pielikuma 1. un 2. punktā minētajai apbūves teritorijas izmantošanas funkcijai.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23-TA-1393</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23-TA-1393</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noteikumu_konsolidētā_versija_p2_23-TA-1393.docx</dc:title>
</cp:coreProperties>
</file>

<file path=docProps/custom.xml><?xml version="1.0" encoding="utf-8"?>
<Properties xmlns="http://schemas.openxmlformats.org/officeDocument/2006/custom-properties" xmlns:vt="http://schemas.openxmlformats.org/officeDocument/2006/docPropsVTypes"/>
</file>