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19.panta 13.punktu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2.1. Prioritātes “Klimata pārmaiņu mazināšana un pielāgošanās klimata pārmaiņām” 2.1.3. specifiskā atbalsta mērķa “Veicināt pielāgošanos klimata pārmaiņām, risku novēršanu un noturību pret katastrofām” 2.1.3.3. pasākuma “Katastrofu risku mazināšanas pasākumi” otrās projektu iesniegumu atlases otrās kārtas pirmo posmu (turpmāk – pasākuma otrās kārtas pirmais posms);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otrās kārtas pirmā posma īstenošanas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otrās kārtas pirmajam posmam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iesniedzējam pasākuma otrās kārtas pirmā posma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otrās kārtas pirmā posma mērķis ir veicināt tehniskās kapacitātes celšanu Valsts ugunsdzēsības un glābšanas dienestā, nodrošinot vieglo transportlīdzekļu modernizēšanu un paaugstinot sniegto pakalpojumu kvalitāti un pieejamību, sniedzot savlaicīgu palīdzību iedzīvotājiem dažādās bīstamās situācijās, glābjot cilvēku dzīvības, materiālās vērtības un novēršot vides apdraudējumus.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otrās kārtas pirmā posma mērķa grupa ir Latvijas iedzīvotāji, Iekšlietu ministrija,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otrās kārtas pirmo posmu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otrās kārtas pirmā posma ietvaros atbildīgās iestādes funkcijas pilda Iekšlietu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otrās kārtas pirmā posma ietvaros sasniedzamās rezultāta un iznākuma rādītāju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kas jāsasniedz līdz 2024. gada 31. decembrim:  investīcijas jaunās vai jauninātās katastrofu monitoringa, gatavības, brīdinājuma un reaģēšanas sistēmās attiecībā uz dabas katastrofām sasniedz 2 250 000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kas jāsasniedz līdz 2029. gada 31. decembrim: aplēstās siltumnīcefekta gāzu emisijas samazinās no 1,521 CO2 tonnām, saskaņā ar 2020. gada datiem, līdz 1,395 CO2 tonnām 2029.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otrās kārtas pirmajam posmam pieejamais kopējais attiecināmais finansējums ir 2 250 000 euro, tai skaitā Eiropas Reģionālās attīstības fonda finansējums – 1 912 500 euro un valsts budžeta līdzfinansējums –   337 500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intensitāte projekta iesniegumā norādītajai attiecināmajai izmaksu pozīcijai nepārsniedz 85 procentus Eiropas Reģionālās attīstības fonda finansējuma un 15 procentus valsts budžeta atbalsta no attiecīgās izmaksu pozīcijas kopējām attiecināmajām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projektu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iesniedzēja un finansējuma saņēmēja funkcijas projekta īstenošanas ietvaros pilda Valsts ugunsdzēsības un glābšanas dienests.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projekta iesniegumam pievieno apliecinājumu, ar ko apliecina projektu lietderību, uzņemas atbildību par projektos sasniedzamajiem mērķiem, rezultātiem un rādītājiem un projektu sekmīgu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projekta iesniegumā plāno mērķu sasniegšanu atbilstoši šo noteikumu 6. punktā noteiktajām vērtībām.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Maksimālais projekta īstenošanas ilgums ir līdz 2024. gada 31. decembrim.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sagatavo projekta iesniegumu saskaņā ar projektu iesniegumu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projekta iesniegumu iesniedz elektroniski, izmantojot Kohēzijas politikas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Saskaņā ar veikto izvērtēšanu atbilstoši “nenodarīt būtisku kaitējumu” principam, pasākuma otrās kārtas pirmā posma projektam ir paredzama nenozīmīga ietekme uz vides mērķiem, līdz ar to papildu prasības projekta iesniedzējam nav izvirzāmas.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Projektu 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ugunsdzēsības un glābšanas dienesta darbības nodrošināšanai nepieciešamo līdz 30 vieglo transportlīdzekļu iegāde, kura tiek īstenota saskaņā ar Eiropas Parlamenta un Padomes Direktīvas (ES)2019/1161 ar ko groza Direktīvu 2009/33/EK par “tīro” un energoefektīvo autotransporta līdzekļu izmantošanas veicināšanu 4. pantu;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publicitātes pasākumu īstenošana.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attiecināmās izmaksas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30 vieglo transportlīdzekļu iegādes un to aprīkošanas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projekta darbībām tieši saistīto publicitātes un vizuālās identitātes pasākumu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pantam un kārtībai,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nodrošina, ka projekta iesniegumā plānotās izmaksas netiek segtas no līdzekļiem, kas paredzēti citiem specifiskiem atbalsta mērķiem Eiropas Savienības kohēzijas politikas programmas 2021.–2027.gadam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2021/1060 64. panta 1. punkta “c” apakšpunktā ietvertajiem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otrās kārtas pirmā posma 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realizē saskaņā ar publisko iepirkumu reglamentējošajiem normatīvajiem aktiem atklātā, pārredzamā, nediskriminējošā un konkurenci nodrošinošā konkursa procedūrā.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ir atbildīgs par projekta ietvaros piešķirtā finansējuma izlietošanu atbilstoši vienošanās par projekta īstenošanu noteiktajiem nosacījumiem un termiņiem, tai skaitā par atbilstošu un savlaicīgu mērķu sasniegšanu, datu ticamību un izsekojamību, kā arī, ja nepieciešams, nodrošina piekļuvi ar projekta īstenošanu saistītajai informācijai.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saņēmējam ir pienākums pirms pasākuma otrās projektu iesniegumu atlases kārtas pirmā posma izsludināšanas izstrādāt nosacījumus, kas paredz kārtību, kādā tiks nodrošināta interešu konflikta neesamība,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nodrošina, ka projekta īstenošanas pabeigšanas brīdī projekta ietvaros iegādātie vieglie transportlīdzekļi ir ieviesti produktīvajā darbībā atbilstoši apstiprinātajam projekta iesniegumam.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23-TA-1151</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23-TA-1151</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noteikumu_projekts_23-TA-1151.docx</dc:title>
</cp:coreProperties>
</file>

<file path=docProps/custom.xml><?xml version="1.0" encoding="utf-8"?>
<Properties xmlns="http://schemas.openxmlformats.org/officeDocument/2006/custom-properties" xmlns:vt="http://schemas.openxmlformats.org/officeDocument/2006/docPropsVTypes"/>
</file>