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Andris Kulbergs, saskaņā ar Eiropas Savienības Tiesas Statūtu 19. pantu, kā arī ņemot vērā Eiropas Savienības Vispārējās tiesas Reglamenta 53.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direktoru Sandi Zelli un Tieslietu ministrijas Eiropas Savienības Tiesas departamenta juristi Kristīni Langišu pārstāvēt Latvijas Republiku Eiropas Savienības Vispārējās tiesas apvienotajās prejudiciālā nolēmuma procesa lietās T-222/26, T-224/26 un T-225/26 Ryanair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26-TA-1629</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26-TA-1629</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pilnvarojums_latviešu_valodā_26-TA-1629.docx</dc:title>
</cp:coreProperties>
</file>

<file path=docProps/custom.xml><?xml version="1.0" encoding="utf-8"?>
<Properties xmlns="http://schemas.openxmlformats.org/officeDocument/2006/custom-properties" xmlns:vt="http://schemas.openxmlformats.org/officeDocument/2006/docPropsVTypes"/>
</file>