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14. aprīlī (prot. Nr. 20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 (Latvijas Vēstnesis, 2023, 73., 179. nr.; 2025, 39., 202.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Pirmās projektu iesniegumu atlases kārtas ietvaros papildus šo noteikumu 13.9. apakšpunktā minētajām izmaksām ir attiecināmas materiālu, aprīkojuma un iekārtu iegādes izmaksas dzelzceļa pāreju un to pieeju aprīkošanai."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 Pirmās projektu iesniegumu atlases kārtas ietvaros finansējuma saņēmējs līdz 2027. gada 1. novembrim iesniedz Satiksmes ministrijā apliecinājumu un pamatojošo dokumentāciju, kas apliecina, ka šo noteikumu 13.</w:t>
      </w:r>
      <w:r w:rsidR="00000000" w:rsidRPr="00000000" w:rsidDel="00000000">
        <w:rPr>
          <w:vertAlign w:val="superscript"/>
          <w:rtl w:val="0"/>
        </w:rPr>
        <w:t xml:space="preserve">4</w:t>
      </w:r>
      <w:r w:rsidR="00000000" w:rsidRPr="00000000" w:rsidDel="00000000">
        <w:rPr>
          <w:rtl w:val="0"/>
        </w:rPr>
        <w:t xml:space="preserve"> punktā minētie materiāli, aprīkojums un iekārtas ir atbilstoši izmantotas dzelzceļa pāreju un to pieeju aprīkošanai plānotajā apjomā un atbilstoši mērķim, kā arī ir neatņemama būvdarbu sastāvdaļa projekta ietvaros. Ja Satiksmes ministrija konstatē, ka iegādātie materiāli nav pilnībā atbilstoši izmantoti un projekta funkcionalitāte nav nodrošināta, Satiksmes ministrija pieprasa valsts akciju sabiedrībai "Latvijas dzelzceļš" atmaksāt valsts budžetā iepriekš saņemto Atveseļošanas fonda finansējumu par to iepirkto materiālu, aprīkojuma un iekārtu apjomu, kas nav atbilstoši izmantots līdz 2027. gada 1. novembrim."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Finansējuma saņēmējs pirmās atlases kārtas ietvaros līdz 2026. gada 4. septembrim iesniedz Vadības informācijas sistēmā projekta mērķa sasniegšanu pamatojošo projekta noslēguma dokumentāciju,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 apliecinājumu par izbūvētās un pārbūvētās dzelzceļa infrastruktūras nodošanu ekspluatācijā un investīcijas projekta mērķu un rādītāju sasniegšanu;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 pakalpojumu un piegādes līgumus un to izdevumus pamatojošo dokumentāciju;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 rēķinus un citus veiktos maksājumus apliecinošos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 aktus par objektu pieņemšanu un nodošanu ekspluatācijā;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33.5. bankas garantijas vai apdrošināšanas polises,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33.6. citus pamatojošos dokumentus, kas apliecina projekta mērķu un rādītāju sasniegšanu."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25-TA-3040</w:t>
    </w:r>
    <w:r>
      <w:br/>
    </w:r>
    <w:r w:rsidR="00000000" w:rsidRPr="00000000" w:rsidDel="00000000">
      <w:rPr>
        <w:rtl w:val="0"/>
      </w:rPr>
      <w:t xml:space="preserve">Izdrukāts 29.07.2026. 23.28 - 2.0.VK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25-TA-3040</w:t>
    </w:r>
    <w:r>
      <w:br/>
    </w:r>
    <w:r w:rsidR="00000000" w:rsidRPr="00000000" w:rsidDel="00000000">
      <w:rPr>
        <w:rtl w:val="0"/>
      </w:rPr>
      <w:t xml:space="preserve">Izdrukāts 29.07.2026. 23.28 - 2.0.VK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noteikumu_(grozījumu)_projekts_25-TA-3040.docx</dc:title>
</cp:coreProperties>
</file>

<file path=docProps/custom.xml><?xml version="1.0" encoding="utf-8"?>
<Properties xmlns="http://schemas.openxmlformats.org/officeDocument/2006/custom-properties" xmlns:vt="http://schemas.openxmlformats.org/officeDocument/2006/docPropsVTypes"/>
</file>