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4.3.2. specifiskā atbalsta mērķa “Kultūras un tūrisma lomas palielināšana ekonomiskajā attīstībā, sociālajā iekļaušanā un sociālajās inovācijās”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4.3.2. specifiskā atbalsta mērķi "Kultūras un tūrisma lomas palielināšana ekonomiskajā attīstībā, sociālajā iekļaušanā un sociālajās inovācijās"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plānoto un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iesniedzējiem, finansējuma saņēmējiem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komercdarbības atbalsta saņemšanas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Specifiskais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Pasākumā piemērota teritoriālā pieeja, veicot ieguldījumus pilsētu funkcionālajās teritorijās, kas noteiktas plānošanas reģionu attīstības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īstenošanu nodrošina Kultūras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saņēmējs projektu īsteno saskaņā ar vienošanos vai līgumu par projekta īstenošanu, bet ne ilgāk kā līdz 2029.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Specifiskā atbalsta mērķis un sasniedzamie uzraudzības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mērķis ir uz sociālo iekļaušanu orientēta un mērķa grupas vajadzībās balstīta kultūras piedāvājuma veidošana, kas rada pozitīvu ietekmi uz vietējām kopienām un veicina dialogu ar sociāli mazaizsargātām sabiedrības grupām un ar kultūras pakalpojumu starpniecību mazina sociālo nevienlīdzību un stiprina kopienas kultūras identitāti.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Specifiskā atbalsta mērķa grupa ir vietējie iedzīvotāji, īpašu uzmanību pievēršot sociāli mazaizsargātām grupām, tai skaitā cilvēkiem ar funkcionāliem traucējumiem, diasporai, mazākumtautību pārstāvjiem un imigrantiem, bērniem un jauniešiem, senioriem un cilvēkiem, kas pakļauti sociāli ekonomiskiem atstumtības riskiem.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ietvaros ir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iznākuma rādītājs: noslēgto līgumu par projektu īstenošanu īpatsvars par ieguldījumiem kultūras un tūrisma objektos – 10 procenti;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atbalstīto kultūras un tūrisma objektu skaits – vismaz 11;</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atbalstīto kultūras un tūrisma vietu apmeklētāji – vismaz 16 500.</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Specifiskajam atbalstam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Specifiskā atbalsta ietvaros plānotais kopējais attiecināmais finansējums ir 20 166 038 </w:t>
      </w:r>
      <w:r w:rsidR="00000000" w:rsidRPr="00000000" w:rsidDel="00000000">
        <w:rPr>
          <w:i w:val="1"/>
          <w:rtl w:val="0"/>
        </w:rPr>
        <w:t xml:space="preserve">euro </w:t>
      </w:r>
      <w:r w:rsidR="00000000" w:rsidRPr="00000000" w:rsidDel="00000000">
        <w:rPr>
          <w:rtl w:val="0"/>
        </w:rPr>
        <w:t xml:space="preserve">(no tā elastības finansējums – 5 243 899 </w:t>
      </w:r>
      <w:r w:rsidR="00000000" w:rsidRPr="00000000" w:rsidDel="00000000">
        <w:rPr>
          <w:i w:val="1"/>
          <w:rtl w:val="0"/>
        </w:rPr>
        <w:t xml:space="preserve">euro</w:t>
      </w:r>
      <w:r w:rsidR="00000000" w:rsidRPr="00000000" w:rsidDel="00000000">
        <w:rPr>
          <w:rtl w:val="0"/>
        </w:rPr>
        <w:t xml:space="preserve">), tai skaitā Eiropas Reģionālās attīstības fonda finansējums 17 141 132 </w:t>
      </w:r>
      <w:r w:rsidR="00000000" w:rsidRPr="00000000" w:rsidDel="00000000">
        <w:rPr>
          <w:i w:val="1"/>
          <w:rtl w:val="0"/>
        </w:rPr>
        <w:t xml:space="preserve">euro </w:t>
      </w:r>
      <w:r w:rsidR="00000000" w:rsidRPr="00000000" w:rsidDel="00000000">
        <w:rPr>
          <w:rtl w:val="0"/>
        </w:rPr>
        <w:t xml:space="preserve">(no tā elastības finansējums – 4 457 314 </w:t>
      </w:r>
      <w:r w:rsidR="00000000" w:rsidRPr="00000000" w:rsidDel="00000000">
        <w:rPr>
          <w:i w:val="1"/>
          <w:rtl w:val="0"/>
        </w:rPr>
        <w:t xml:space="preserve">euro</w:t>
      </w:r>
      <w:r w:rsidR="00000000" w:rsidRPr="00000000" w:rsidDel="00000000">
        <w:rPr>
          <w:rtl w:val="0"/>
        </w:rPr>
        <w:t xml:space="preserve">) un nacionālais finansējums (valsts budžeta līdzfinansējums, pašvaldību līdzfinansējums un privātais līdzfinansējums) – 3 024 906 </w:t>
      </w:r>
      <w:r w:rsidR="00000000" w:rsidRPr="00000000" w:rsidDel="00000000">
        <w:rPr>
          <w:i w:val="1"/>
          <w:rtl w:val="0"/>
        </w:rPr>
        <w:t xml:space="preserve">euro </w:t>
      </w:r>
      <w:r w:rsidR="00000000" w:rsidRPr="00000000" w:rsidDel="00000000">
        <w:rPr>
          <w:rtl w:val="0"/>
        </w:rPr>
        <w:t xml:space="preserve">(no tā elastības finansējums – 786 585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Specifiskā atbalsta īstenošanai kopējo specifiskajam atbalstam pieejamo finansējumu plāno ne vairāk kā 14 922 139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12 683 818 </w:t>
      </w:r>
      <w:r w:rsidR="00000000" w:rsidRPr="00000000" w:rsidDel="00000000">
        <w:rPr>
          <w:i w:val="1"/>
          <w:rtl w:val="0"/>
        </w:rPr>
        <w:t xml:space="preserve">euro </w:t>
      </w:r>
      <w:r w:rsidR="00000000" w:rsidRPr="00000000" w:rsidDel="00000000">
        <w:rPr>
          <w:rtl w:val="0"/>
        </w:rPr>
        <w:t xml:space="preserve">apmērā un nacionālo finansējumu – 2 238 321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specifiskajam atbalstam pieejamo kopējo finansējumu līdz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minētajam plānotajam kopējam finansējumam.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iesnieguma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 iesnieguma maksimālais kopējais attiecināmais finansējums ir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Eiropas Reģionālās attīstības fonda maksimālā finansējuma likme nepārsniedz 85 procentus no projekta kopējām attiecināmajām izmaksām, ja atbalsta sniegšana specifiskā atbalsta ietvaros tam nav kvalificējama kā komercdarbības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Projektam, kam atbalsta sniegšana specifiskā atbalsta mērķa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norādītajām tiešajām attiecināmajām izmaksām un pamatdarbības peļņu no ieguldījuma.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iesniedzējam un sadarbības partnerim projekta ietvaros pieejamo publiskā finansējuma apmēru nosaka,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iesniedzējam un sadarbības partnerim, ja projektam atbalsta sniegšana specifiskā atbalsta ietvaros nav kvalificējama kā komercdarbības atbalsts, publiskais finansējums nepārsniedz 100 procentus;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pašvaldībai vai tās izveidotai iestādei, ja projektam atbalsta sniegšana specifiskā atbalsta ietvaros kvalificējama kā komercdarbības atbalsts, publiskais finansējums nepārsniedz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 aprēķina finanšu iztrūkumu.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un sadarbības partneris nodrošina projekta līdzfinansējumu šādā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atbalsta sniegšana specifiskā atbalsta ietvaros nav kvalificējama kā komercdarbības atbalsts, projekta iesniedzēja un sadarbības partnera līdzfinansējums nav mazāks par 15 procentiem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atbalsta sniegšana specifiskā atbalsta ietvaros ir kvalificējama kā komercdarbības atbalsts, projekta iesniedzēja un sadarbības partnera privātā līdzfinansējuma apmēru nosaka, ņemot vērā, ka publiskais finansējums nepārsniedz aprēķināto finanšu iztrūkumu. Projekta iesniedzējs līdzfinansējumu nodrošina no tādiem pašu līdzekļiem, par kuriem nav saņemts nekāds publisks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Specifiskā atbalsta ietvaros projekta iesniedzējs var iesniegt vienu projekta iesniegumu un ar sadarbības partneri slēdz sadarbības līgumu par projekta īstenošanu viena sadarbības projekta ietvaros. Ar projekta iesniedzēju, kas iesniedzis projekta iesniegumu specifiskā atbalsta ietvaros, vienlaikus nevar slēgt sadarbības līgumu kā ar sadarbības partneri cita projekta iesnieguma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tā pamatojumu, pamatojoties uz finansējuma saņēmēja rakstisku avansa pieprasījumu, var piešķirt finansējuma saņēmējam avansu pēc vienošanās un līguma par projekta īstenošanu noslēgšanas.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finansējums un valsts budžeta līdzfinansējuma kopsummas, ievērojot, ka avansu var izmaksāt vairākos maksājumos un avansa un starpposma maksājumu kopsumma nepārsniedz 90 procentus no projektam piešķirtā Eiropas Reģionālās attīstības fonda un valsts budžeta finansējuma kopsummas.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Finansējumu piešķir projekta iesniedzējam, kurš pēc projekta iesnieguma apstiprināšanas ir finansējuma saņēmējs – biedrībai, nodibinājumam un citai juridiskai personai, kuras pamatdarbība ir kultūras vai radošajā nozarē, valsts iestādei, pašvaldībai, pašvaldības iestādei vai valsts un pašvaldības kapitālsabiedrībai.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 valsts iestāde, pašvaldība, pašvaldības iestāde vai valsts un pašvaldības kapitālsabiedrība, kuras pamatdarbība nav kultūras vai radošajā nozarē, projekta īstenošanai piesaista sadarbības partneri, kura pamatdarbība ir kultūras vai radošajā nozarē.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ar katru sadarbības partneri slēdz rakstveida sadarbības līgumu par pušu pienākumiem, tiesībām un atbildību projekta mērķa un rādītāju sasniegšanā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Īpašuma vai turējuma tiesības attiecībā uz atbalstītajiem objektiem nemaina un ieguldījums paliek Latvijas Republikas teritorijā vismaz piecus gadus pēc noslēguma maksājuma veikšanas finansējuma saņēmējam. Īpašuma vai turējuma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atbalsts kvalificējams kā komercdarbības atbalsts, projekta iesniedzējs nedrīkst saņemt finansējumu un sadarbības partneris nevar tikt iesaistīts projekta īstenošanā, ja uz atbalsta piešķiršanas brīdi: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atbilst grūtībās nonākuša komersanta statusam saskaņā ar Regulas Nr. 651/2014 2. panta 18. punkta definīciju;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pašvaldībā atbilstoši likumam "Par pašvaldību finanšu stabilizēšanu un pašvaldību finansiālās darbības uzraudzību", ir uzsākts finanšu stabilizācijas process.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Specifiskā atbalsta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veic izmaksu un ieguvumu analīzi, ievērojot, ka projekta ekonomiskā ienesīguma norma ir lielāka par sociālo diskonta likmi un projekta ekonomiskā neto pašreizējā vērtība ir lielāka par nulli,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izmaksas ir vismaz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pretendē uz komercdarbības atbalstu saskaņā ar Komisijas regulas Nr. 651/2014 53.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iesniedzējam vai sadarbības partnerim, kura pamatdarbība ir kultūras vai radošajā nozarē, uz projekta iesniegšanas dienu ir apstiprināta organizācijas darbības stratēģija, kurā noteikti vidēja termiņa darbības mērķi, kas liecina par sabiedrības ieguvumiem no projektā attīstītajiem pakalpojumiem, paredz veicināt kultūras pakalpojumu pieejamību, tostarp attīstot pakalpojumus vismaz divām dažādām sociāli mazaizsargāto iedzīvotāju grupām, un saņemts Kultūras ministrijas atzinums par stratēģijas atbilstību.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Specifiskais atbalsts tiek īstenots, ievērojot: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Jaunā Eiropas </w:t>
      </w:r>
      <w:r w:rsidR="00000000" w:rsidRPr="00000000" w:rsidDel="00000000">
        <w:rPr>
          <w:i w:val="1"/>
          <w:rtl w:val="0"/>
        </w:rPr>
        <w:t xml:space="preserve">Bauhaus</w:t>
      </w:r>
      <w:r w:rsidR="00000000" w:rsidRPr="00000000" w:rsidDel="00000000">
        <w:rPr>
          <w:rtl w:val="0"/>
        </w:rPr>
        <w:t xml:space="preserve"> principus: estētiku, ilgtspēju, iekļautību, tai skaitā iekļaujot publiskās ārtelpas attīstības risinājumus apkārtējā ainavā, nodrošinot dabā balstīto risinājumu un universālā dizaina principu ievērošanu;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Starptautiskās kultūras pieminekļu un ievērojamu vietu padomes izstrādātos kvalitātes principus Eiropas Savienības finansētiem pārveidojumiem, kas var ietekmēt kultūras mantojumu.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specifiskā atbalsta ietvaros plānotais atbalsts nepārklājas ar citiem valsts un ārvalstu finanšu atbalsta instrumentiem, kā arī nodrošina dubultā finansējuma neiestāšanos;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projekta īstenošanas komunikācijas un vizuālās identitātes prasības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Nr.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un sadarbības partneris: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sasniegtajām šo noteikumu </w:t>
      </w:r>
      <w:r w:rsidR="00000000" w:rsidRPr="00000000" w:rsidDel="00000000">
        <w:rPr>
          <w:rtl w:val="0"/>
        </w:rPr>
        <w:t xml:space="preserve">10.2.1. </w:t>
      </w:r>
      <w:r w:rsidR="00000000" w:rsidRPr="00000000" w:rsidDel="00000000">
        <w:rPr>
          <w:rtl w:val="0"/>
        </w:rPr>
        <w:t xml:space="preserve">apakšpunktā</w:t>
      </w:r>
      <w:r w:rsidR="00000000" w:rsidRPr="00000000" w:rsidDel="00000000">
        <w:rPr>
          <w:rtl w:val="0"/>
        </w:rPr>
        <w:t xml:space="preserve"> minētā iznākuma rādītāja vērtībām;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projektā sasniegtajām šo noteikumu </w:t>
      </w:r>
      <w:r w:rsidR="00000000" w:rsidRPr="00000000" w:rsidDel="00000000">
        <w:rPr>
          <w:rtl w:val="0"/>
        </w:rPr>
        <w:t xml:space="preserve">10.2.2. </w:t>
      </w:r>
      <w:r w:rsidR="00000000" w:rsidRPr="00000000" w:rsidDel="00000000">
        <w:rPr>
          <w:rtl w:val="0"/>
        </w:rPr>
        <w:t xml:space="preserve">apakšpunktā</w:t>
      </w:r>
      <w:r w:rsidR="00000000" w:rsidRPr="00000000" w:rsidDel="00000000">
        <w:rPr>
          <w:rtl w:val="0"/>
        </w:rPr>
        <w:t xml:space="preserve"> minētā rezultāta rādītāja vērtībām;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(ja attiecināms), tai skaitā par objektu skaitu, kuros ERAF/KF ieguldījumu rezultātā ir nodrošināta vides un informācijas pieejamība;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30.3. </w:t>
      </w:r>
      <w:r w:rsidR="00000000" w:rsidRPr="00000000" w:rsidDel="00000000">
        <w:rPr>
          <w:rtl w:val="0"/>
        </w:rPr>
        <w:t xml:space="preserve">apakšpunktā</w:t>
      </w:r>
      <w:r w:rsidR="00000000" w:rsidRPr="00000000" w:rsidDel="00000000">
        <w:rPr>
          <w:rtl w:val="0"/>
        </w:rPr>
        <w:t xml:space="preserve"> minētajiem horizontālo principu rādītājiem;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īstenošanai nepieciešamo preču un pakalpojumu iegādi veic saskaņā ar publisko iepirkumu reglamentējošajiem normatīvajiem aktiem, īstenojot atklātu, pārredzamu, nediskriminējošu un konkurenci nodrošinošu konkursa procedūru;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izvērtē iespēju īstenot sociāli atbildīgu un inovatīvu iepirkumu  un vides prasību integrāciju preču un pakalpojumu  iepirkumos (zaļais publiskais iepirkums);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ar parakstu apliecina, ka nepastāv interešu konflikts.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Projektā iekļauj atbalstāmās darbības, kas sekmē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specifiskā atbalsta mērķa un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30.3. </w:t>
      </w:r>
      <w:r w:rsidR="00000000" w:rsidRPr="00000000" w:rsidDel="00000000">
        <w:rPr>
          <w:rtl w:val="0"/>
        </w:rPr>
        <w:t xml:space="preserve">apakšpunktā</w:t>
      </w:r>
      <w:r w:rsidR="00000000" w:rsidRPr="00000000" w:rsidDel="00000000">
        <w:rPr>
          <w:rtl w:val="0"/>
        </w:rPr>
        <w:t xml:space="preserve"> minēto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sociālo iekļaušanu orientētu jaunu kultūras pakalpojumu radīšana vai esošo kultūras pakalpojumu pielāgošana sociāli mazaizsargātam iedzīvotāju grupām, tostarp kultūras pakalpojumu saturiskā tvēruma paplašināšana un kultūras pakalpojumu piekļūstamības nodrošināšana;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profesionālo kompetenču pilnveidošana, attīstot prasmes, kas nepieciešamas kvalitatīvu, mērķauditoriju vajadzībā balstītu pakalpojumu sniegšanai;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atjaunošana un aprīkojuma iegāde kultūras piedāvājuma izveides nolūkos;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Izmaksas ir attiecināmas no šo noteikumu spēkā stāšanās, ja šīs izmaksas nav saistītas ar komercdarbības atbalstu. Projektā neiekļauj darbības, kas ir pabeigtas vienošanās vai līguma par projekta īstenošanu noslēgšanas brīdī.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38.1. apakšpunktā minētajām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minētās atbalstāmās darbības,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personāla izmaksas, kuras saskaņā ar Regulas Nr. 2021/1060 55. panta 1. punktu projekta iesniegumā plāno kā vienu izmaksu pozīciju, piemērojot izmaksu vienoto likmi 5 procentu apmērā no projekta tiešajām attiecināmajām izmaksām, bet neieskaitot tiešās personāla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pamatojošās dokumentācijas sagatavošanas izmaksas, izņemot projekta iesnieguma veidlapas aizpildīšanas izmaksas, nepārsniedzot 10 procentus no projekta kopējām attiecināmajām izmaksām: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izstrāde visām projektā paredzētajām darbībām;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kultūrvēsturiskās un arheoloģiskās izpētes un kultūrvēsturiskās inventarizācijas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kultūras mantojuma objektu saistītās pakalpojuma un tā tehniskā projekta izstrādes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audita, ekspertīzes un izpētes izmaksas, ja to veikšana ir priekšnosacījums būvprojekta, būvdarbu ieceres dokumentācijas vai būvprojekta minimālā sastāvā izstrādei;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izmaksu un ieguvumu analīzes izstrāde;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ekspertu izmaksas, kas tieši saistītas ar investīcijām infrastruktūrā, būvuzraudzības, autoruzraudzības un arheoloģiskās uzraudzības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būvdarbu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esošas būves, tai skaitā kultūras mantojuma objekta sasniedzamību un piekļūstamību nodrošinošās infrastruktūras (satiksmes pārvadi, ielas un ar tām saistītā infrastruktūra, gājēju ceļi, gājēju tilti, labiekārtoti laukumi ar segumu, kāpnes, apgaismojums) atjaunošana, konservācija, pārbūve vai restaurācija un ar to saistītās publiskās ārtelpas attīstība;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ietvaros atjaunoto, konservēto, pārbūvēto, restaurēto vai uzbūvēto būvju funkcionalitātes nodrošināšanai nepieciešamo inženiertīklu, tai skaitā ūdensvada, sadzīves kanalizācijas, lietusūdens kanalizācijas, elektrības, elektronisko sakaru, siltumapgādes, ventilācijas, klimata kontroles un ugunsdzēsības sistēmas atjaunošana, pārbūve vai būvniecība;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inženierinfrastruktūras pārbūve vai funkcionāls savienojums, tai skaitā lietusūdens kanalizācijas infrastruktūras izbūve vai pārbūve (piegulošo inženiertīklu pārbūves izmaksas attiecināmas tikai tad, ja tiek nodrošināts sertificēta būvinženiera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aprīkošana un pielāgošana pakalpojumu sniegšanai, kas nepieciešama būves vai tās daļas pieņemšanai ekspluatācijā;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pakalpojuma izveides izmaksas, aprīkojuma iegādes un uzstādīšanas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 saskaņā ar Regulas Nr. 2021/1060 47. un 50. pantu un normatīvajiem aktiem par kārtību, kādā Eiropas Savienības fondu vadībā iesaistītās institūcijas nodrošina šo fondu ieviešanu 2021.-2027. gada plānošanas periodā. Ja projektam sniegtais atbalsts ir uzskatāms par komercdarbības atbalstu, publicitātes izmaksas var būt attiecināmas projekta ietvaros, nepiemērojot komercdarbības atbalsta regulējumu;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īstenošanai, kas nepieciešamas, lai nodrošinātu atbilstību vides un informācijas piekļūstamības prasībām, tai skaitā: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zīmju valodas tulku, vieglās valodas tulkošanas, reāllaika transkripcijas un subtitru nodrošināšanas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ekspertu konsultāciju izmaksas par dzimumu līdztiesības, personu ar invaliditāti vienlīdzīgu iespēju, vecuma nediskriminācijas, etniskās un citas piederības pamattiesību jautājumiem.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 izlietošanu finansējuma saņēmējs saskaņo ar sadarbības iestādi, ievērojot vienošanos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Specifiskā atbalsta atbalstāmo darbību ietvaros ir attiecināms pievienotās vērtības nodoklis tiešajām attiecināmajām izmaksām atbilstoši Regulas Nr. 2021/1060 64. panta 1. punkta "c" apakšpunkta nosacījumiem, ja tas nav atgūstams atbilstoši normatīvajiem aktiem nodokļu politikas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minētās izmaksas ir attiecināmas, ja tās ir ieguldījumi materiālajos aktīvos, kā noteikts Regulas Nr. 651/2014 2. panta 29. punktā, vai nemateriālajos aktīvos, kā noteikts Regulas Nr. 651/2014 2. panta 30. punktā, un ir saistītas ar pamatlīdzekļa vērtību, izņemot šo noteikumu </w:t>
      </w:r>
      <w:r w:rsidR="00000000" w:rsidRPr="00000000" w:rsidDel="00000000">
        <w:rPr>
          <w:rtl w:val="0"/>
        </w:rPr>
        <w:t xml:space="preserve">34.7. </w:t>
      </w:r>
      <w:r w:rsidR="00000000" w:rsidRPr="00000000" w:rsidDel="00000000">
        <w:rPr>
          <w:rtl w:val="0"/>
        </w:rPr>
        <w:t xml:space="preserve">apakšpunktā</w:t>
      </w:r>
      <w:r w:rsidR="00000000" w:rsidRPr="00000000" w:rsidDel="00000000">
        <w:rPr>
          <w:rtl w:val="0"/>
        </w:rPr>
        <w:t xml:space="preserve"> minētās izmaksas, ja projekta iesniegumam sniegtais atbalsts ir uzskatāms par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projekta izmaksas ir pieaugušas, finansējuma saņēmējs un sadarbības partneris sedz sadārdzinājumu no saviem līdzekļiem. Ja atbalsta sniegšana specifiskā atbalsta ietvaros ir kvalificējama kā komercdarbības atbalsts, projekta iesniedzējs un sadarbības partneris privāto finansējumu nodrošina no tādiem pašu līdzekļiem, par kuriem nav saņemts nekāds publisks atbalsts.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Komercdarbības atbalsta saņemšanas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Komercdarbības atbalstu šo noteikumu ietvaros sniedz saskaņā ar Regulas Nr. 651/2014 53. pantu.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Projektam netiek piemēroti regulas Nr. 651/2014 53. panta nosacījumi jeb sniegtais atbalsts nav uzskatāms par komercdarbības atbalstu šādos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nav saimnieciska rakstura, jo pašu ieņēmumi atbalstītajā objektā ir 50 procenti vai mazāki par 50 procentiem no kultūras jomas pakalpojumu sniedzēja gada budžeta atbalstītajā objektā;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pašu ieņēmumi atbalstītajā objektā ir lielāki par 50 procentiem no kultūras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visiem kultūras jomā sniegto pakalpojumu saņēmējiem vai atbalstītā objekta apmeklētājiem gadā 85 procenti vai vairāk ir Latvijas iedzīvotāji;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īstenotie kultūras pasākumi pārsvarā notiek latviešu valodā;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objekts netiek plaši reklamēts ārpus Latvijas teritorijas, tai skaitā netiek veiktas starptautiskas mārketinga aktivitātes un citas darbības pārrobežu reklāmas jomā.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pārskata periodā finansējuma saņēmējs atbilstoši Kultūras ministrijas izstrādātajai komercdarbības atbalsta piemērošanas metodikai specifiskā atbalsta ietvaros reizi gadā līdz kārtējā gada 1. jūnijam iesniedz sadarbības iestādē informāciju, kas nepieciešama, lai izvērtētu, vai kultūras nozares projekts atbilst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minētajiem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Komercdarbības atbalstu finansējuma saņēmējam piešķir saskaņā ar regulu Nr. 651/2014, ja ievēroti visi šajā punktā minētie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 darbība atbilst vienam vai vairākiem regulas Nr. 651/2014 53. panta 2. punkta b), c), d) vai e) apakšpunktā norādītajiem mērķiem un darbībām un ir ievēroti regulas Nr. 651/2014 1. panta 2. punkta c) un d) apakšpunktā, 3. punktā un 4. punkta a) apakšpunktā minētie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komercdarbības atbalstu, kurš tiek sniegts saskaņā ar regulas Nr. 651/2014 53. pantu vienam vai vairākiem 53. panta 2. punkta b), c), d) un e) apakšpunktā minētajiem mērķiem vai darbībām, papildus ir ievērots nosacījums, ka atbalstu nesniedz regulas Nr. 651/2014 53. panta 10. punktā minētajām nozarēm;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ievēroti regulas Nr. 651/2014 1. panta 3. punkta nosacījumi par nozarēm, kurām nepiemēro regulu Nr. 651/2014 un kurām tiek nodrošināta izmaksu nošķiršana tādējādi, ka darbības izslēgtajās nozarēs negūst labumu no atbalsta, kas piešķirts saskaņā ar regulu Nr. 651/2014;</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saņēmējs un sadarbības partneris projekta iesniegumam pievienojis apliecinājumu, kas apliecina atbilstību Komisijas regulas Nr. 651/2014 2. panta 18. punkta c) apakšpunkta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Lēmumu par atbalsta piešķiršanu saskaņā ar regulu Nr. 651/2014 pieņem līdz regulas Nr. 651/2014 58. panta 4. punktā un 59. pantā noteiktajam termiņam.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Atbalstītajā objektā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minētajā gadījumā ir pieļaujams veikt papildpakalpojumus, kuri tiek veikti ar saimniecisko darbību nesaistītā infrastruktūrā un kuriem nebūtu ietekmes uz tirdzniecību un konkurenci Eiropas Savienības iekšējā tirgū.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Komercdarbības atbalstu šo noteikumu ietvaros drīkst apvienot ar citu komercdarbības atbalstu, tai skaitā ar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nepārsniedzot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starpību starp tiešajām attiecināmajām izmaksām un pamatdarbības peļņu no ieguldījuma, kā arī citā valsts atbalsta programmā, ad hoc atbalsta projektā vai Eiropas Komisijas lēmumā noteikto maksimālā atbalsta summu un atbalsta intensitāti. Šo noteikumu ietvaros pamatdarbības peļņas definīcija atbilst regulas Nr. 651/2014 2. panta 39. punktam.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Sadarbības iestāde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651/2014 9. panta 1. punkta c) apakšpunktā un 4. punktā noteikto publicitātes pasākumu izpildi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651/2014 12. panta 1. punktā noteikto nosacījumu izpildi;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ar komercdarbības atbalstu saistīta projekta dokumentāciju glabā visu projekta pārskata periodu, sākot no dienas, kad tam ir piešķirts komercdarbības atbalsts saskaņā ar šiem noteikumiem.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komercdarbības atbalstu sniedz saskaņā ar regulas Nr. 651/2014 53. pantu un ja attiecīgajā projektā vai projekta daļā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minētās izmaksu un ieguvumu analīzes pārrēķinu un sadarbības iestādei atmaksā starpību starp faktisko un plānoto peļņu no pamatdarbības.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projekts tā ieviešanas gaitā vai projekta pārskata periodā kļūst par projektu, kura ietvaros tiek sniegts komercdarbības atbalsts, tiek piemēroti regulas Nr. 651/2014 53. panta nosacījumi. Ja regulas Nr. 651/2014 53. panta nosacījumus nav iespējams piemērot, piešķirtais atbalsts ir nelikumīgs komercdarbības atbalsts un atbalsta sniedzējs piemēro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minētās nelikumīgā komercdarbības atbalsta atgūšanas normas.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sadarbības iestāde atbalstītajā objektā konstatē komercdarbības atbalstu, tā par to informē finansējuma saņēmēju. Finansējuma saņēmējs 10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ir pārkāptas regulas Nr. 651/2014 prasības vai ir konstatēts, ka projekts tā ieviešanas gaitā vai projekta pārskata periodā neatbilst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minētajiem gadījumiem un tam nav iespējams piemērot regulas Nr. 651/2014 53. panta nosacījumus vai tiek veikta saimnieciskā darbība, kas nav uzskatāma par papildpakalpojumu, atbalsta saņēmējam ir pienākums atmaksāt sadarbības iestādei saņemto nelikumīgo komercdarbības atbalstu kopā ar procentiem no līdzekļiem, kas ir brīvi no valsts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24-TA-1502</w:t>
    </w:r>
    <w:r>
      <w:br/>
    </w:r>
    <w:r w:rsidR="00000000" w:rsidRPr="00000000" w:rsidDel="00000000">
      <w:rPr>
        <w:rtl w:val="0"/>
      </w:rPr>
      <w:t xml:space="preserve">Izdrukāts 29.07.2026. 23.40 - 1.0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24-TA-1502</w:t>
    </w:r>
    <w:r>
      <w:br/>
    </w:r>
    <w:r w:rsidR="00000000" w:rsidRPr="00000000" w:rsidDel="00000000">
      <w:rPr>
        <w:rtl w:val="0"/>
      </w:rPr>
      <w:t xml:space="preserve">Izdrukāts 29.07.2026. 23.40 - 1.0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noteikumu_projekts_24-TA-1502.docx</dc:title>
</cp:coreProperties>
</file>

<file path=docProps/custom.xml><?xml version="1.0" encoding="utf-8"?>
<Properties xmlns="http://schemas.openxmlformats.org/officeDocument/2006/custom-properties" xmlns:vt="http://schemas.openxmlformats.org/officeDocument/2006/docPropsVTypes"/>
</file>