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2.2.2.1. pasākuma "Atkritumu šķirošana, pārstrāde un reģenerācija" projektu iesniegumu pirmās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2.2.2.1. pasākuma "Atkritumu šķirošana, pārstrāde un reģenerācija" (turpmāk – pasākums) projektu iesniegumu pirmo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un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pāreju uz aprites ekonomiku.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mērķis ir atbalstīt atkritumu pārstrādes iekārtu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Komersants šo noteikumu izpratnē ir lielais, vidējais vai mazais komersants. Mazais un vidējais komersants šo noteikumu izpratnē ir komersants, kas atbilst Eiropas Komisijas 2014. gada 17. jūnija Regulas (ES) Nr. 651/2014, ar ko noteiktas atbalsta kategorijas atzīst par saderīgām ar iekšējo tirgu, piemērojot Līguma 107. un 108. pantu</w:t>
      </w:r>
      <w:r w:rsidR="00000000" w:rsidRPr="00000000" w:rsidDel="00000000">
        <w:rPr>
          <w:i w:val="1"/>
          <w:rtl w:val="0"/>
        </w:rPr>
        <w:t xml:space="preserve"> </w:t>
      </w:r>
      <w:r w:rsidR="00000000" w:rsidRPr="00000000" w:rsidDel="00000000">
        <w:rPr>
          <w:rtl w:val="0"/>
        </w:rPr>
        <w:t xml:space="preserve">(turpmāk – regula Nr. 651/2014), I pielikumam. Lielais komersants šo noteikumu izpratnē ir komersants, kas neatbilst regulas Nr. 651/2014 I pielikumā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2029. gada 31. decembrim atlases kārtā sasniedzamie projektu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atbalstītie uzņēmumi (mazie, vidējie un lielie). Iznākuma rādītāja vērtība tiek sasniegta, ja atlases kārtas projektu ietvaros veikti ieguldījumi atkritumu pārstrādes iekārtu izveidē, nodrošinot atbalstu vismaz trim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papildu jauda atkritumu pārstrādei. Iznākuma rādītāja vērtība tiek sasniegta, ja atlases kārtas projektu ietvaros veikti ieguldījumi atkritumu pārstrādes iekārtu izveidē, nodrošinot papildu atkritumu pārstrādes iekārtu jaudu – 30 000 tonnas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5.2. </w:t>
      </w:r>
      <w:r w:rsidR="00000000" w:rsidRPr="00000000" w:rsidDel="00000000">
        <w:rPr>
          <w:rtl w:val="0"/>
        </w:rPr>
        <w:t xml:space="preserve">apakšpunktam</w:t>
      </w:r>
      <w:r w:rsidR="00000000" w:rsidRPr="00000000" w:rsidDel="00000000">
        <w:rPr>
          <w:rtl w:val="0"/>
        </w:rPr>
        <w:t xml:space="preserve">, sasniedzot pārstrādāto atkritumu apjomu – 102 500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atklātas projektu iesniegumu atlases veidā divos uzsaukumos.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Vides aizsardzības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vismaz 26 666 666 </w:t>
      </w:r>
      <w:r w:rsidR="00000000" w:rsidRPr="00000000" w:rsidDel="00000000">
        <w:rPr>
          <w:i w:val="1"/>
          <w:rtl w:val="0"/>
        </w:rPr>
        <w:t xml:space="preserve">euro</w:t>
      </w:r>
      <w:r w:rsidR="00000000" w:rsidRPr="00000000" w:rsidDel="00000000">
        <w:rPr>
          <w:rtl w:val="0"/>
        </w:rPr>
        <w:t xml:space="preserve">, tai skaitā Kohēzijas fonda finansējums – 20 000 000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 vismaz 6 666 666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Neizmantoto Kohēzijas fonda finansējumu, kas atbrīvojies pēc atlases kārtas divu uzsaukumu rīkošanas, novirza pasākuma projektu iesniegumu atlases otrajai kārtai.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Kohēzijas fonda finansējums projektā ir 85 procenti no projekta kopējā attiecināmā finansējuma, ja projektā plānots </w:t>
      </w:r>
      <w:r w:rsidR="00000000" w:rsidRPr="00000000" w:rsidDel="00000000">
        <w:rPr>
          <w:i w:val="1"/>
          <w:rtl w:val="0"/>
        </w:rPr>
        <w:t xml:space="preserve">de minimis</w:t>
      </w:r>
      <w:r w:rsidR="00000000" w:rsidRPr="00000000" w:rsidDel="00000000">
        <w:rPr>
          <w:rtl w:val="0"/>
        </w:rPr>
        <w:t xml:space="preserve"> atbalsts, vienlaikus ievērojot šo noteikumu 45. punkta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atlases kārtas ietvaros ir komersants, kura darbība atbilstoši Saimniecisko darbību statistiskās klasifikācijas Eiropas Kopienā (turpmāk – NACE) 2. redakcijai (sākot ar 2025. gada 1. janvāri – NACE 2.1. redakcijai) atbilst E sadaļas 38. vai 39. nodaļai. Projekta iesniedzējs pēc civiltiesiskā līguma par projekta īstenošanu noslēgšanas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līdz pirmā maksājuma pieprasījuma iesniegšanas dienai sadarbības iestādē nodrošina, ka tam ir zemesgrāmatā nostiprinātas tiesības veikt būvdarbus zemesgabalos, kur paredzēts īstenot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Atbalsts netiek piešķirts grūtībās nonākušam komersantam, attiecībā uz kuru pastāv vismaz viena regulas Nr. 651/2014 2. panta 18. punktā minētā situācija.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iesniegumam pievieno pārstrādājamo atkritumu pieejamības un pastāvīgas plūsmas nodrošinājuma aprakstu, ievērojot regulas Nr. 651/2014 47. panta 5. punkta nosacījumu, ka atbalsts nedrīkst stimulēt atkritumu rašanos. Aprakstā norādīta atkritumu izcelsme un izvērtētas iekārtu ekspluatācijai nepieciešamo atkritumu ieguves avotu alternatīvas, kā arī sniegts vērtējums par attiecīgā atkritumu veida pieejamību projekta dzīves ciklā.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projekta izmaksu un ieguvumu analīzi (finanšu analīzi un ekonomisko analīzi), ko pievieno projekta iesniegumam, ievērojot, ka projekta: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10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Valsts vides dienestā iesniedz plānotās pārstrādes iekārtas dokumentāciju latviešu valodā (tehnisko specifikāciju un citu papildinošu dokumentāciju par iekārtas plānoto darbību, ja tāda pieejama). Valsts vides dienests 15 darbdienu laikā sagatavo un izsniedz projekta iesniedzējam atzinumu par projektā plānotās iekārtas pārstrādes darbības rezultātā radušos produktu vai otrreizējo izejvielu. Projekta iesniedzējs atzinumu pievieno projekta iesniegumam, ko iesniedz sadarbības iestādē atbilstoši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noteiktajai kārtībai.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Atlases kārtas ietvaros ir atbalstāma trešo personu radītu atkritumu pārstrādes iekārtu izveide, īstenojot arī sabiedrības izglītošanas un vides apziņu veicinošus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Atlases kārtas ietvaros ieguldījumus veic atkritumu pārstrādei nepieciešamos pamatlīdzekļos, tai skaitā tādos materiālajos aktīvos kā ražošanas telpas jeb ēkas, tehnika, tai skaitā traktortehnika, iekārtas, aprīkojums un ar to saistītā infrastruktūra,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vismaz piecus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Atlases kārtas ietvaros nav atbalstāmi ieguldījumi: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reģenerācijas iekārtu (tai skaitā iekārtu ar enerģijas atguvi) izveidei;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atkritumu pārstrādes iekārtu izveidei, kur viens atkritumu pārstrādes cikls ilgst vairāk nekā trīs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saimnieciskās darbības rezultātā radīto atkritumu pārstrādei;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esošu atkritumu pārstrādes iekārtu darbības uzlabošanai vai nomaiņai, vai jaudas palielināšanai;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notekūdeņu attīrīšanas iekārtu dūņu pārstrādei;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(zemesgabalu, ēku)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tādu atkritumu pārstrādes iekārtu izveidei, kurās Latvijā radīto pārstrādājamo atkritumu apjoms ir mazāks par 50 procentiem no iekārtu jaudas;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atkritumu apglabāšanai poligonos;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atkritumiem iegūta kurināmā ražošanai.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Atlases kārtas ietvaros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Tiešās attiecināmās izmaksas,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sasniegšanu,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būvdarbu būvuzraudzības izmaksas, ja to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mērķu sasniegšanai paredzēto tehnoloģisko iekārtu iegādes, uzstādīšanas un ieregulēšanas izmaksas, ja uzstādīšanas un ieregulēšanas izmaksas veido projekta ietvaros iegādāto tehnoloģisko iekārtu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iegādes izmaksas, nepārsniedzot 10 procentus no projekta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 un publicitātes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un vizuālās identitātes prasību nodrošināšanas izmaksas, bet nepārsniedzot vienu procentu no projekta kopējām tiešajām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informēšanas un izglītošanas pasākumu izmaksas, kas nav 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minētās izmaksas, bet ne vairāk kā 10 procenti no projekta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23.5.2. </w:t>
      </w:r>
      <w:r w:rsidR="00000000" w:rsidRPr="00000000" w:rsidDel="00000000">
        <w:rPr>
          <w:rtl w:val="0"/>
        </w:rPr>
        <w:t xml:space="preserve">apakšpunktā</w:t>
      </w:r>
      <w:r w:rsidR="00000000" w:rsidRPr="00000000" w:rsidDel="00000000">
        <w:rPr>
          <w:rtl w:val="0"/>
        </w:rPr>
        <w:t xml:space="preserve"> minētās izmaksas un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būvprojekta izstrādes izmaksas 100 procentu apmērā finansē no privātā līdzfinansējuma vai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minētās izmaksas 100 procentu apmērā finansē no Kohēzijas fonda finansējuma, un tas nekvalificējas kā komercdarbības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Izmaksas ir attiecināmas no projekta iesnieguma iesniegšanas dienas sadarbības iestādē,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jūlija.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iesniegumā neiekļauj un finansējumu nepiešķir pabeigtām darbībām, izņemot darbības, kas saistītas ar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Projektā var paredzēt līdzekļus neparedzētiem izdevumiem, kas nepārsniedz piecus procentus no projekta kopējām attiecināmajām izmaksām. Neparedzētie izdevumi ir izdevumi tādu papildu darbu vai pakalpojumu veikšanai, kas kļuvuši nepieciešami, lai varētu izpildīt civiltiesisko līgumu par projekta īstenošanu un izmantot ar projekta īstenošanu saistīto attiecināmo izmaksu segšanai. Neparedzēto izmaksu izmantošanu pirms izmaksu veikšanas finansējuma saņēmējs saskaņo ar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Atlases kārtas ietvaros projektu īsteno saskaņā ar civiltiesisko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iepirkumus veic saskaņā ar normatīvajiem aktiem publisko iepirkumu jomā,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projekta ietvaros izveidotajā atkritumu pārstrādes iekārtā pēcuzraudzības periodā tiek veikta atkritumu pārstrāde saskaņā ar projekta mērķi. Atkritumu pārstrādes jauda atbilstoši projektā plānotajam iznākuma rādītājam jānodrošina ne vēlāk kā līdz projekta pēcuzraudzības perioda pirmā gada beigām. Katru pēcuzraudzības perioda gadu finansējuma saņēmējs sniedz informāciju sadarbības iestādei par projekta ietvaros izveidotajā 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projektā faktiski apgūtais finansējuma apjoms saskaņā ar sadarbības iestādē iesniegto noslēguma maksājuma pieprasījumu ir mazāks nekā sākotnēji projekta iesniegumā tika paredzēts, finansējuma saņēmējs nodrošina, ka atkritumu pārstrādes iekārtas jauda nav mazāka par sākotnēji projekta iesniegumā plānoto.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 sedz no saviem līdzekļiem,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turējumā vai valdījumā projekta īstenošanas laikā un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rezultātu ilgtspēju un uzturēšanu vismaz piecus gadus pēc projekta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noslēguma maksājuma iesniegšanai iegūst atbilstošu piesārņojošas darbības atļauju, ja vien projektā paredzētajai darbībai paredzētajā apjomā tā jau nav izsniegta;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dubultā finansējuma neiestāšanos un projektā plānoto darbību nepārklāšanos, kā arī to, ka projektā plānotie darbi netiek finansēti vai līdzfinansēti, kā arī tos nav plānots finansēt vai līdzfinansēt no citiem valsts un ārvalstu finanšu atbalsta instrumentiem vai citiem publiskiem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ņemot vērā finansējuma saņēmēja rakstisku avansa pieprasījumu, pēc civiltiesiskā līguma par projekta īstenošanu noslēgšanas var piešķirt finansējuma saņēmējam avansu. Finansējuma saņēmējs avansa pieprasījumu sagatavo un sadarbības iestāde to apstiprina, ņemot vērā, ka plānotā avansa apmērs atbilst finansējuma saņēmēja spējai to izlietot sešu mēnešu laikā.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Komercdarbības atbalstu šo noteikumu ietvaros piešķir saskaņā ar regulas Nr. 651/2014 47. pantu un regulu Nr. 2023/2831.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Komercdarbības atbalstu saskaņā ar regulas Nr. 651/2014 47. pantu projekta iesniedzējam piešķir, ja ievēroti arī visi turpmāk minētie regulas Nr. 651/2014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komersants vienlaikus darbojas vienā vai vairākās nozarēs vai veic citas darbības nozarēs, kas neietilpst Komisijas regulas Nr. 2023/2831 darbības jomā, tas nodrošina šo nozaru darbību vai izmaksu nodalīšanu saskaņā ar komisijas regulas Nr. 2023/2831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Ar projekta izmaksām saistītos līgumus slēdz un ar ieguldījumiem saistītus darbus uzsāk pēc projekta iesnieguma iesniegšanas sadarbības iestādē, tai skaitā ievērojot arī regulas Nr. 651/2014 2. panta 23. punktā minēto nosacījumu par darbu sākumu un regulas Nr. 651/2014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Maksimālā Kohēzijas fonda finansējuma intensitāte, kurā neiekļauj </w:t>
      </w:r>
      <w:r w:rsidR="00000000" w:rsidRPr="00000000" w:rsidDel="00000000">
        <w:rPr>
          <w:i w:val="1"/>
          <w:rtl w:val="0"/>
        </w:rPr>
        <w:t xml:space="preserve">de minimis </w:t>
      </w:r>
      <w:r w:rsidR="00000000" w:rsidRPr="00000000" w:rsidDel="00000000">
        <w:rPr>
          <w:rtl w:val="0"/>
        </w:rPr>
        <w:t xml:space="preserve">atbalstu šo noteikumu </w:t>
      </w:r>
      <w:r w:rsidR="00000000" w:rsidRPr="00000000" w:rsidDel="00000000">
        <w:rPr>
          <w:rtl w:val="0"/>
        </w:rPr>
        <w:t xml:space="preserve">23.5.2. </w:t>
      </w:r>
      <w:r w:rsidR="00000000" w:rsidRPr="00000000" w:rsidDel="00000000">
        <w:rPr>
          <w:rtl w:val="0"/>
        </w:rPr>
        <w:t xml:space="preserve">apakšpunktā</w:t>
      </w:r>
      <w:r w:rsidR="00000000" w:rsidRPr="00000000" w:rsidDel="00000000">
        <w:rPr>
          <w:rtl w:val="0"/>
        </w:rPr>
        <w:t xml:space="preserve"> minēto izmaksu un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būvprojekta izstrādes izmaksu segšanai, ievērojot regulas Nr. 651/2014 47. panta 8. un 9. punktu,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uzņēmumiem 75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65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55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iesniedzējs atbilstoši regulas Nr. 651/2014 47. panta 7. punkta trešajai daļai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otrreizēju izejvielu cenu izmaiņas;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piešķir šo noteikumu </w:t>
      </w:r>
      <w:r w:rsidR="00000000" w:rsidRPr="00000000" w:rsidDel="00000000">
        <w:rPr>
          <w:rtl w:val="0"/>
        </w:rPr>
        <w:t xml:space="preserve">23.5.2. </w:t>
      </w:r>
      <w:r w:rsidR="00000000" w:rsidRPr="00000000" w:rsidDel="00000000">
        <w:rPr>
          <w:rtl w:val="0"/>
        </w:rPr>
        <w:t xml:space="preserve">apakšpunktā</w:t>
      </w:r>
      <w:r w:rsidR="00000000" w:rsidRPr="00000000" w:rsidDel="00000000">
        <w:rPr>
          <w:rtl w:val="0"/>
        </w:rPr>
        <w:t xml:space="preserve"> minētajām izmaksām sabiedrības informēšanas un izglītošanas pasākumu veikšanai un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 būvprojekta izstrādes izmaksām, sniedz saskaņā ar regulu Nr. 2023/2831,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plānotais</w:t>
      </w:r>
      <w:r w:rsidR="00000000" w:rsidRPr="00000000" w:rsidDel="00000000">
        <w:rPr>
          <w:i w:val="1"/>
          <w:rtl w:val="0"/>
        </w:rPr>
        <w:t xml:space="preserve"> 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2023/2831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2023/2831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finansējuma saņēmējs – 10 gadus no atbalsta piešķiršanas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atbalsta piešķiršanu saskaņā ar regulu Nr. 2023/2831 var pieņemt līdz minētās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Lēmumu par atbalsta piešķiršanu saskaņā ar regulu Nr. 651/2014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iekļautos nosacījumus pārbauda uz projekta iesnieguma iesniegšanas brīdi sadarbības iestādē un uz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ka ar komercdarbības atbalstu saistīto projekta dokumentāciju glabā 10 gadus no dienas, kad piešķirts komercdarbības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piešķirts pēdējais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651/2014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tiek pārkāptas regulas Nr. 651/2014 prasības, finansējuma saņēmējam ir pienākums atmaksāt sadarbības iestādei projekta ietvaros saņemto nelikumīgo komercdarbības atbalstu, savukārt, ja tiek pārkāptas regulas Nr. 2023/2831 prasības, finansējuma saņēmējam ir pienākums atmaksāt sadarbības iestādei visu projekta ietvaros saņemto nelikumīgo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23-TA-2123</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23-TA-2123</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noteikumu_projekts_23-TA-2123.docx</dc:title>
</cp:coreProperties>
</file>

<file path=docProps/custom.xml><?xml version="1.0" encoding="utf-8"?>
<Properties xmlns="http://schemas.openxmlformats.org/officeDocument/2006/custom-properties" xmlns:vt="http://schemas.openxmlformats.org/officeDocument/2006/docPropsVTypes"/>
</file>