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jūnijā (prot. Nr. 32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17. oktobra rīkojumā Nr. 532 "Par informācijas sabiedrības attīstības pamatnostādņu ieviešanu publiskās pārvaldes informācijas sistēmu jomā (mērķarhitektūras 40.0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17. oktobra rīkojumā Nr. 532 "Par informācijas sabiedrības attīstības pamatnostādņu ieviešanu publiskās pārvaldes informācijas sistēmu jomā (mērķarhitektūras 40.0 versija)" (Latvijas Vēstnesis, 2018, 206.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Atbalstīt informācijas un komunikācijas tehnoloģiju mērķarhitektūras 40.0 versijā iekļautā projekta konsolidēto aprakstu (kopsavilkumu)."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22-TA-815</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22-TA-815</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rīkojuma_(grozījumu)_projekts_22-TA-815.docx</dc:title>
</cp:coreProperties>
</file>

<file path=docProps/custom.xml><?xml version="1.0" encoding="utf-8"?>
<Properties xmlns="http://schemas.openxmlformats.org/officeDocument/2006/custom-properties" xmlns:vt="http://schemas.openxmlformats.org/officeDocument/2006/docPropsVTypes"/>
</file>