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Ilgtspējas informācijas atklāšanas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Ilgtspējas informācijas atklāšanas likumā (Latvijas Vēstnesis, 2024, 193.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5. panta otrajā daļā vārdu "vadības" ar vārdu "ilgtspējas".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8. panta otrajā daļā vārdu "vadības" ar vārdu "ilgtspējas".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pārejas noteikumu 7. un 8. punktā vārdus un skaitļus "sākot ar 2025. pārskata gadu (pārskata gadu, kurš sākas 2025. gada 1. janvārī vai 2025. kalendāra gada laikā)" ar vārdiem un skaitļiem "sākot ar 2027. pārskata gadu (pārskata gadu, kurš sākas 2027. gada 1. janvārī vai 2027. kalendāra gada laikā)".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pārejas noteikumu 9., 11. un 12. punktā vārdus un skaitļus "sākot ar 2026. pārskata gadu (pārskata gadu, kurš sākas 2026. gada 1. janvārī vai 2026. kalendāra gada laikā)" ar vārdiem un skaitļiem "sākot ar 2028. pārskata gadu (pārskata gadu, kurš sākas 2028. gada 1. janvārī vai 2028. kalendāra gada laikā)".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informatīvo atsauci uz Eiropas Savienības direktīvu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Informatīva atsauce uz Eiropas Savienības direktīvām</w:t>
      </w:r>
      <w:r w:rsidR="00000000" w:rsidRPr="00000000" w:rsidDel="00000000">
        <w:rPr>
          <w:rtl w:val="0"/>
        </w:rPr>
        <w:t xml:space="preserve">
</w:t>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kas izriet no:</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Eiropas Parlamenta un Padomes 2022. gada 14. decembra direktīvas (ES) 2022/2464, ar ko attiecībā uz korporatīvo ilgtspējas ziņu sniegšanu groza regulu (ES) Nr. 537/2014, direktīvu 2004/109/EK, direktīvu 2006/43/EK un direktīvu 2013/34/ES;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Eiropas Parlamenta un Padomes 2025. gada 14. aprīļa direktīvas (ES) 2025/794, ar ko groza Direktīvas (ES) 2022/2464 un (ES) 2024/1760 attiecībā uz datumiem, sākot no kuriem dalībvalstīm jāpiemēro noteiktas korporatīvo ilgtspējas ziņu sniegšanas un pienācīgas rūpības prasības."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25-TA-1049</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25-TA-1049</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likumprojekts_(grozījumi)_25-TA-1049.docx</dc:title>
</cp:coreProperties>
</file>

<file path=docProps/custom.xml><?xml version="1.0" encoding="utf-8"?>
<Properties xmlns="http://schemas.openxmlformats.org/officeDocument/2006/custom-properties" xmlns:vt="http://schemas.openxmlformats.org/officeDocument/2006/docPropsVTypes"/>
</file>