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pasākumu "Infrastruktūras un mācību vides pilnveide efektīvas, kvalitatīvas un mūsdienīgas izglītības īstenošanai speciālās izglītības iestādēs"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Eiropas Reģionālās attīstības fonda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fonda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speciālās izglītības iestāžu tīkla sakārtošana un mācību vides un infrastruktūras, materiāltehniskā nodrošinājuma un mācību līdzekļu pilnveidošana, lai paaugstinātu speciālās izglītības iestāžu kapacitāti kvalitatīvas speciālās izglītības nodrošināšanā.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pašvaldību dibinātas speciālās izglītības iestādes, to pedagogi un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jaunu vai modernizētu izglītības iestāžu klašu telpu ietilpība – 3864 personas, tai skaitā līdz 2024. gada 31. decembrim – 386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speciālās izglītības iestādes, kurās modernizēta mācību vide, – 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plānotais un pieejamais kopējais finansējums ir 16 066 237 </w:t>
      </w:r>
      <w:r w:rsidR="00000000" w:rsidRPr="00000000" w:rsidDel="00000000">
        <w:rPr>
          <w:i w:val="1"/>
          <w:rtl w:val="0"/>
        </w:rPr>
        <w:t xml:space="preserve">euro</w:t>
      </w:r>
      <w:r w:rsidR="00000000" w:rsidRPr="00000000" w:rsidDel="00000000">
        <w:rPr>
          <w:rtl w:val="0"/>
        </w:rPr>
        <w:t xml:space="preserve">, tai skaitā Eiropas Reģionālās attīstības fonda finansējums 13 656 301 </w:t>
      </w:r>
      <w:r w:rsidR="00000000" w:rsidRPr="00000000" w:rsidDel="00000000">
        <w:rPr>
          <w:i w:val="1"/>
          <w:rtl w:val="0"/>
        </w:rPr>
        <w:t xml:space="preserve">euro</w:t>
      </w:r>
      <w:r w:rsidR="00000000" w:rsidRPr="00000000" w:rsidDel="00000000">
        <w:rPr>
          <w:rtl w:val="0"/>
        </w:rPr>
        <w:t xml:space="preserve"> un pašvaldību līdzfinansējums 2 409 936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līdzfinansējums ir ne mazāks kā 15 procenti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pašvaldība, kuras administratīvajā teritorijā darbojas vismaz viena speciālās izglītības iestāde,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iesniedz projekta iesniegumu un papildus iesniedzamos dokumentus saskaņā ar sadarbības iestādes projektu iesniegumu atlases nolikumu.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Uzsākot dalību projekta iesniegumu atlasē, pašvaldība veic speciālās izglītības iestāžu tīkla sakārtošanu (ja attiecināms), nodrošinot, ka tās administratīvajā teritorijā pēc 2027. gada 31. augusta darbojas ne vairāk kā viena speciālās izglītības iestāde (izņemot Rīgas valstspilsētu), kas licencētas speciālās izglītības programmas īsteno vienuviet. Prioritāri atbalsts paredzēts speciālās izglītības attīstības centriem.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tiek atbalstīti projekti, kas paredzēti pašvaldību domju apstiprinātajos attīstības programmu investīciju plānos.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minētajām pašvaldībām maksimāli plānotais Eiropas Reģionālās attīstības fonda finansējums ir šāds: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pašvaldība – 440 674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pašvaldība – 314 969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Bauskas novada pašvaldība – 386 468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Cēsu novada pašvaldība – 340 204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Daugavpils valstspilsēta – 932 759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Dobeles novada pašvaldība – 281 322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Gulbenes novada pašvaldība – 378 057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Jelgavas novada pašvaldība – 323 380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Jelgavas valstspilsēta – 777 142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Jēkabpils novada pašvaldība – 323 380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15.12.</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15.13.</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Kuldīgas novada pašvaldība – 571 056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Liepājas valstspilsēta – 974 817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Limbažu novada pašvaldība – 289 734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Līvānu novada pašvaldība – 197 205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Ogres novada pašvaldība – 264 498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Madonas novada pašvaldība – 235 058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Rēzeknes novada pašvaldība – 584 143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Rēzeknes valstspilsēta – 714 055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Rīgas valstspilsēta – 2 516 485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Ropažu novada pašvaldība – 407 498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Saldus novada pašvaldība – 457 968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Smiltenes novada pašvaldība – 327 586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15.26.</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Tukuma novada pašvaldība – 739 760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Valmieras novada pašvaldība – 878 083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minimālais kopējo attiecināmo izmaksu apmērs nav mazāks par 200 000 </w:t>
      </w:r>
      <w:r w:rsidR="00000000" w:rsidRPr="00000000" w:rsidDel="00000000">
        <w:rPr>
          <w:i w:val="1"/>
          <w:rtl w:val="0"/>
        </w:rPr>
        <w:t xml:space="preserve">euro</w:t>
      </w:r>
      <w:r w:rsidR="00000000" w:rsidRPr="00000000" w:rsidDel="00000000">
        <w:rPr>
          <w:rtl w:val="0"/>
        </w:rPr>
        <w:t xml:space="preserve"> (ieskaitot).</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rādītāju sasniegšanu un ietver investīcijas speciālās izglītības iestāžu infrastruktūras attīstībai speciālās izglītības programmu apguvei: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speciālās izglītības iestādes infrastruktūras un mācību vides uzlabošana, tai skaitā piekļūstamības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izglītības programmu apguvei nepieciešamā aprīkojuma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speciālās izglītības iestādes internāta infrastruktūras uzlabošana un aprīkošana;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speciālās izglītības iestādes ēkai piegulošās teritorijas, tai skaitā sporta aktivitāšu zonas,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būvdarbu ieceres dokumentācijas, būvprojekta minimālā sastāvā, paskaidrojuma raksta izstrāde vai aktualizācija;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energosertifikācijas, 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 tai skaitā vides, informācijas un komunikācijas tehnoloģiju un to risinājumu piekļūstamības ekspertu konsultācijas, zīmju valodas tulku, vieglās valodas tulkošanas, reāllaika transkripcijas, subtitru nodrošināšanas pakalpojumu izmaksas, ja tās ir nepieciešamas vides un informācijas piekļūstamības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izglītības iestādes ēkas pārbūves vai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telpu (klašu, kabinetu, auditoriju, laboratoriju) un pedagoģiskā personāla (skolotājs logopēds, izglītības psihologs, pedagogs karjeras konsultants) kabinetu pārbūves vai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gaiteņu, kāpņu, tostarp evakuācijas kāpņu, un sanitāro mezglu būvniecības, pārbūves, atjaunošanas un aprīkošanas izmaksas, ja tiek īstenoti šo noteikumu 18.2.1. apakšpunktā minētie darbi;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būvprojektā paredzētu iekārtu vai aprīkojuma iegāde un uzstādīšana, kas nepieciešams būves vai tās daļas pieņemšanai ekspluatācijā vai ēkas funkcionalitātes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iekšējo inženiertīklu (iekšējo elektrotīklu, apkures sistēmu, vēdināšanas un gaisa kondicionēšanas sistēmu, ūdensvada tīklu, kanalizācijas tīklu, balss apziņošanas sistēmu, automātisko ugunsgrēka atklāšanas sistēmu, trauksmes signalizācijas un automātiskās balss ugunsgrēka izziņošanas sistēmu, video novērošanas sistēmu) izbūves vai pārbūves izmaksas. Minētās izmaksas plāno kā papildizmaksas šo noteikumu </w:t>
      </w:r>
      <w:r w:rsidR="00000000" w:rsidRPr="00000000" w:rsidDel="00000000">
        <w:rPr>
          <w:rtl w:val="0"/>
        </w:rPr>
        <w:t xml:space="preserve">18.2.1.</w:t>
      </w:r>
      <w:r w:rsidR="00000000" w:rsidRPr="00000000" w:rsidDel="00000000">
        <w:rPr>
          <w:rtl w:val="0"/>
        </w:rPr>
        <w:t xml:space="preserve"> un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speciālās izglītības iestādes ēkas pilna apjoma pārbūves vai ēkas piebūves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ergonomiskas mācību vides izveides izmaksas, tai skaitā šo noteikumu 18.2. apakšpunktā minēto telpu aprīkojuma un mēbeļu iegādes, apgaismojuma modernizēšanas un trokšņu slāpētāju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inovatīvu informācijas un komunikācijas tehnoloģiju risinājumu ieviešanas izmaksas, tai skaitā bezvadu interneta vai interneta pieslēguma izveides izmaksas, mācību procesa nodrošināšanai nepieciešamā aprīkojuma un programmatūras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speciālās izglītības iestādes internāta ēkas būvniecības, pārbūves vai atjaunošanas izmaksas un tā darbības (dzīvojamo un mācību telpu, virtuves, sanitāro mezglu, dušas telpu) nodrošināšanai nepieciešamā aprīkojuma iegādes izmaksas, tai skaitā mēbeļu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tai skaitā labiekārtojuma elementu iegāde un uzstādīšana (piemēram, soliņi, celiņi, apgaismojums, žogi, terases, nojumes), rotaļlaukuma, sporta laukuma būvniecības, pārbūves vai atjaunošanas izmaksas, kas nepārsniedz 20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speciālās izglītības iestādes sporta zāles un tās ģērbtuvju ar dušas telpām un aktu zāles pārbūves, atjaunošanas un aprīkošanas izmaksas, kas nepārsniedz 20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neparedzētie izdevumi, kas nepārsniedz piecus procentus no projekta kopējām attiecināmajām izmaksām. Neparedzētos izdevumus pirms to veikšanas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18.7.</w:t>
      </w:r>
      <w:r w:rsidR="00000000" w:rsidRPr="00000000" w:rsidDel="00000000">
        <w:rPr>
          <w:rtl w:val="0"/>
        </w:rPr>
        <w:t xml:space="preserve"> un </w:t>
      </w:r>
      <w:r w:rsidR="00000000" w:rsidRPr="00000000" w:rsidDel="00000000">
        <w:rPr>
          <w:rtl w:val="0"/>
        </w:rPr>
        <w:t xml:space="preserve">18.8.</w:t>
      </w:r>
      <w:r w:rsidR="00000000" w:rsidRPr="00000000" w:rsidDel="00000000">
        <w:rPr>
          <w:rtl w:val="0"/>
        </w:rPr>
        <w:t xml:space="preserve"> apakšpunktā</w:t>
      </w:r>
      <w:r w:rsidR="00000000" w:rsidRPr="00000000" w:rsidDel="00000000">
        <w:rPr>
          <w:rtl w:val="0"/>
        </w:rPr>
        <w:t xml:space="preserve">  minētās izmaksas, finansējuma saņēmējs nodrošina, ka tās kopsummā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attiecināmajām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ir attiecināmas, ja tās atbilst šajos noteikumos minētajām izmaksu pozīcijām un ir radušās ar šo noteikumu spēkā stāšanās dienu, izņemot projektu pamatojošās dokumentācijas sagatavošanas izmaksas, kas ir attiecināmas, ja tās veiktas pēc 2021.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minētās izmaksas ir attiecināmas, ja tās tiek veiktas ar saimniecisko darbību nesaistītā infrastruktūrā.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saskaņā ar šiem noteikumiem nav noteiktas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izpilda nepieciešamās prasības un nodrošina, ka projekta īstenošanā ievērots horizontālais princips "Nenodarīt būtisku kaitējumu" un tas atbilst Eiropas Savienības kohēzijas politikas programmā 2021.–2027. gadam noteiktajiem Eiropas Savienības un nacionālajiem normatīvajiem aktiem vides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projekta īstenošanas laikā uzkrāj datus par projekta ietekmi uz tā rādītājiem,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Reģionālās attīstības fonda ieguldījumiem ir nodrošināta vides un informācijas piekļūstamība;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pasākumu skaits par projekta ietvaros būvētās vides, informācijas tehnoloģiju risinājumu un informācijas tehnoloģiju piekļūstamību personām ar dažādiem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šādus horizontālos principus un uzkrāj datus par projekta ietekmi uz tiem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26.2.</w:t>
      </w:r>
      <w:r w:rsidR="00000000" w:rsidRPr="00000000" w:rsidDel="00000000">
        <w:rPr>
          <w:rtl w:val="0"/>
        </w:rPr>
        <w:t xml:space="preserve"> 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minētā iznākuma rādītāja vērtības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trīs gadus pēc projekta īstenošanas informē sadarbības iestādi par būves ikgadējo enerģijas patēriņu (megavatstundas);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w:t>
      </w:r>
      <w:r w:rsidR="00000000" w:rsidRPr="00000000" w:rsidDel="00000000">
        <w:rPr>
          <w:rtl w:val="0"/>
        </w:rPr>
        <w:t xml:space="preserve">2021/1060</w:t>
      </w:r>
      <w:r w:rsidR="00000000" w:rsidRPr="00000000" w:rsidDel="00000000">
        <w:rPr>
          <w:rtl w:val="0"/>
        </w:rPr>
        <w:t xml:space="preserve">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interešu konflikta, krāpšanas un korupcijas risku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saņemšanas.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lai projektā paredzētās atbalstāmās darbības un attiecināmās izmaksas nepārklātos ar citiem valsts vai ārvalstu finanšu atbalsta instrumentiem, nodrošinot dubultā finansējuma neiestāšanos.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tā pamatojumu un spēju to izlietot sešu mēnešu laikā saimnieciskā gada ietvaros, var piešķirt finansējuma saņēmējam avansu, ievērojot, ka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ieguldījumus var veikt finansējuma saņēmēja īpašumā esošajā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projekta īstenošanas laikā un projekta dzīves cikla laikā (10 gadi) atbilstoši atbildīgās iestādes izstrādātajai papildinošas saimnieciskās darbības uzraudzības metodikai nodrošina papildinošas saimnieciskās darbības uzraudzību projektā uzlabotajai infrastruktūrai.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projekta dzīves cikla laikā ir pieļaujams veikt papildinošu saimniecisko darbību 20 procentu apmērā no infrastruktūras gada jaudas platības, laika vai finanšu izteiksmē un ir pieļaujama parasto papildpakalpojumu sniegšana.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Par parastajiem papildpakalpojumiem uzskata ēdināšanas pakalpojumu sniegšanu izglītojamiem un pašvaldības speciālās izglītības iestādē nodarbinātajiem.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sadarbības iestāde konstatē, ka ir pārkāptas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minētās komercdarbības atbalsta kontroles normas, finansējuma saņēmējam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 veic saskaņā ar normatīvajiem aktiem publisko iepirkumu jomā, īstenojot atklātu, pārredzamu, nediskriminējošu un konkurenci nodrošinošu konkursa procedūru. Finansējuma saņēmējs projekta ietvaros nodrošina vides prasību integrāciju preču un pakalpojumu iepirkumos, īstenojot zaļo publisko iepirkumu, un vides un informācijas piekļūstamību, īstenojot sociāli atbildīgu publisko iepirkumu.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24-TA-2262</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24-TA-2262</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noteikumu_konsolidētā_versija_24-TA-2262.docx</dc:title>
</cp:coreProperties>
</file>

<file path=docProps/custom.xml><?xml version="1.0" encoding="utf-8"?>
<Properties xmlns="http://schemas.openxmlformats.org/officeDocument/2006/custom-properties" xmlns:vt="http://schemas.openxmlformats.org/officeDocument/2006/docPropsVTypes"/>
</file>