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18. martā (prot. Nr. 11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30. septembra noteikumos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5.panta septīto, astoto un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30. septembra noteikumos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(Latvijas Vēstnesis, 2014, 200. nr.; 2015, 130. nr.; 2016, 80. nr.; 2021, 92. nr.; 2022, 166. nr.; 2023, 90.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Valsts vides dienests, Valsts tehniskās uzraudzības aģentūra, Valsts meža dienests, Valsts ieņēmumu dienests, Valsts augu aizsardzības dienests, Pārtikas un veterinārais dienests, Dabas aizsardzības pārvalde, Būvniecības valsts kontroles birojs un normatīvajos aktos par bioloģiskās lauksaimniecības uzraudzības un kontroles kārtību noteiktās kontroles institūcijas nodrošina Lauku atbalsta dienestu ar nepieciešamo informāciju un pārbaudēm savas atbildības un kompetences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Zemkopības ministrijas un tās padotībā esošo iestāžu informācijas sistēmas tiek izmitinātas un darbinātas valsts datu apstrādes mākoņa infrastruktūrā. Minēto infrastruktūru zemkopības nozarē uztur un attīsta Lauku atbalsta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divus Viedās administrācijas un reģionālās attīstības ministrijas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divus Viedās administrācijas un reģionālās attīstības ministrijas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Šo noteikumu 1.1. apakšpunktā minētā fonda finansējumu un, ja tas ir paredzēts projekta iesniegumā, valsts budžeta finansējumu Lauku atbalsta dienests pārskaita uz atbalsta saņēmēja maksājumu kontu, kas atvērts pie Maksājumu pakalpojumu un elektroniskās naudas likuma 2. panta otrās daļas 1., 2., 4., 7. vai 8. punktā minētā maksājumu pakalpojumu sniedzēja. Ja atbalsta maksājums ir paredzēts pasākumu projektam saistībā ar valsts un Eiropas Savienības atbalstu lauku un zivsaimniecības attīstībai (atklātu projektu iesniegumu konkursu un vienreizēju maksājumu veidā), maksājumu pārskaita uz atbalsta saņēmēja maksājumu kontu, kas atvērts pie Maksājumu pakalpojumu un elektroniskās naudas likuma 2. panta otrās daļas 1., 2., 4., 7. vai 8. punktā minētā maksājumu pakalpojumu sniedzēja, ievērojot kārtību, kādā Valsts kase nodrošina maksājumu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Lauku atbalsta dienestam ir tiesības aizkavēt maksājumu atbalsta saņēmējam vai tā ieskaitīšanu valsts budžeta ieņēmumos līdz brīdim, kad ieplānota atmaksa valsts budžetā vai budžeta apropriācija pārdalīta starp programmām, apakšprogrammām un budžeta izdevumu kodiem atbilstoši ekonomiskajām kategorijām."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24-TA-2912</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24-TA-2912</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noteikumu_(grozījumu)_projekts_24-TA-2912.docx</dc:title>
</cp:coreProperties>
</file>

<file path=docProps/custom.xml><?xml version="1.0" encoding="utf-8"?>
<Properties xmlns="http://schemas.openxmlformats.org/officeDocument/2006/custom-properties" xmlns:vt="http://schemas.openxmlformats.org/officeDocument/2006/docPropsVTypes"/>
</file>