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2002. gada 19. februāra noteikumos Nr. 68 "Izglītības programmu minimālās prasības zobārsta, farmaceita, māsas un vecmātes profesionālās kvalifikācijas iegūšanai"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“</w:t>
      </w:r>
      <w:r w:rsidR="00000000" w:rsidRPr="00000000" w:rsidDel="00000000">
        <w:rPr>
          <w:rStyle w:val="paragraph"/>
          <w:i w:val="1"/>
          <w:rtl w:val="0"/>
        </w:rPr>
        <w:t xml:space="preserve">Par reglamentētajām profesijām un profesionālās 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kvalifikācijas atzīšanu</w:t>
      </w:r>
      <w:r w:rsidR="00000000" w:rsidRPr="00000000" w:rsidDel="00000000">
        <w:rPr>
          <w:rStyle w:val="paragraph"/>
          <w:i w:val="1"/>
          <w:rtl w:val="0"/>
        </w:rPr>
        <w:t xml:space="preserve">” 6.panta 2.punktu un 9.panta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2002. gada 19. februāra noteikumos Nr. 68 "Izglītības programmu minimālās prasības zobārsta, farmaceita, māsas un vecmātes profesionālās kvalifikācijas iegūšanai" (Latvijas Vēstnesis, 2002, 32. nr.; 2016, 75. nr.; 2019, 255.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"2.6. zināšanas par digitālo zobārstniecību, tās pielietošanu un drošu izmantošanu praksē.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"3.1.3. bioloģija, ģenētika un reģeneratīvā medicīna;".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"3.2.5. bioķīmija (vai fizioloģiskā ķīmija);".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"3.2.11. profilaktiskā medicīna un sabiedrības zobu veselība;".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3.2.20.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"3.2.20. imunoloģija."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"3.3.5. anestēzija un sedācija;".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3.3.13.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"3.3.13. prakses vadība un normatīvie akti veselības aprūpē;".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3.3.15.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"3.3.15. zobārstniecības prakses sociālie aspekti;".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3.3.17.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"3.3.17. gerodontoloģija;".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3.3.18.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"3.3.18. implantoloģija;".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3.3.19.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"3.3.19. starpprofesionālā kopīgā aprūpe;".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3.3.20.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"3.3.20. digitālās tehnoloģijas zobārstniecībā."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Minimālais rezidentūras izglītības programmas ortodontijā ilgums, lai persona varētu pretendēt uz atļaujas saņemšanu patstāvīgi nodarboties ar zobārstniecību atbilstoši savai kompetencei, pēc pilna laika zobārsta izglītības programmas apguves ir trīs gadi.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4.1. </w:t>
      </w:r>
      <w:r w:rsidR="00000000" w:rsidRPr="00000000" w:rsidDel="00000000">
        <w:rPr>
          <w:rtl w:val="0"/>
        </w:rPr>
        <w:t xml:space="preserve">(svītrots ar MK 12.04.2016. noteikumiem Nr. 228)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4.2. </w:t>
      </w:r>
      <w:r w:rsidR="00000000" w:rsidRPr="00000000" w:rsidDel="00000000">
        <w:rPr>
          <w:rtl w:val="0"/>
        </w:rPr>
        <w:t xml:space="preserve">(svītrots ar MK 12.04.2016. noteikumiem Nr. 228)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"5.6. klīniskā farmācija un farmaceitiskā aprūpe, kā arī to izmantošanas iemaņas;".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"5.7. sabiedrības veselība un tās ietekme uz veselības veicināšanu un slimību pārvaldību;".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"5.8. starpnozaru un daudznozaru sadarbība, starpprofesionāla prakse un komunikācijas;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"5.9. informācijas tehnoloģijas, digitālās tehnoloģijas un to izmantošana."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"6.8. anatomija, fizioloģija, patoloģija un patofizioloģija;".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biofarmācijas tehnoloģija;".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6.16.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"6.16. ģenētika un farmakogenomika;".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6.17.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"6.17. imunoloģija;".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6.18.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"6.18. klīniskā farmācija;".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6.19.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"6.19. farmaceitiskā aprūpe;".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6.20.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"6.20. sociālā farmācija;".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6.21.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"6.21. sbiedrības veselība un epidemioloģija;".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6.22.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"6.22. farmācijas prakse;".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6.23.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"6.23. farmakoekonomika."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zināšanas un prasmes pacientu individualizētā aprūpē, kā arī spējas atbalstīt pacientu, viņu radinieku un citu iesaistīto personu pašaprūpes prasmes un veselīgu dzīvesveidu;".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8.5.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"8.5.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vadībzinību un lēmumu pieņemšanas zināšanas un prasmes; 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8.5.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"8.5.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zināšanas par tehniskiem jauninājumiem veselības aprūpes jomā un māsas īstenotās aprūpes metodēs.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"11.1. teorētiskās un praktiskās zināšanas māsu praksē: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11.1.1. māsas sniegtās aprūpes raksturs, ētika;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11.1.2. veselības un pacientu aprūpes vispārīgie principi, tai skaitā personcentrētas aprūpes teorijas;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 pacientu aprūpe šādās māsu prakses jomās: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11.1.3.1. vispārīgā un speciālā ārstniecība;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11.1.3.2. vispārīgā un speciālā ķirurģija;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11.1.3.3. bērnu aprūpe un pediatrija;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11.1.3.4. aprūpe grūtniecības, dzemdību un pēcdzemdību periodā;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11.1.3.5. garīgā veselība un psihiatrija;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11.1.3.6. geriatrija un vecu cilvēku aprūpe;".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11.3.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teorētiskās un praktiskas zināšanas, kā arī klīniskās mācības digitālajos veselības aprūpes pakalpojumos jeb e-veselības jomā."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11.4.4.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"11.4.4. aprūpe grūtniecības, dzemdību un pēcdzemdību periodā;".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11.4.7.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"11.4.7. aprūpe kopienā;".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11.4.8.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"11.4.8. personcentrēta pieeja."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informatīvās atsauces uz Eiropas Savienības direktīvām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"Noteikumos iekļautas tiesību normas, kas izriet no: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Eiropas Parlamenta un Padomes 2005. gada 7. septembra Direktīvas 2005/36/EK par profesionālo kvalifikāciju atzīšanu;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Eiropas Parlamenta un Padomes 2013. gada 20. novembra Direktīvas 2013/55/ES, ar ko groza Direktīvu 2005/36/EK par profesionālo kvalifikāciju atzīšanu un Regulu (ES) Nr. 1024/2012 par administratīvo sadarbību, izmantojot Iekšējā tirgus informācijas sistēmu (IMI regulu)."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25-TA-2870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25-TA-2870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