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ministriju un citu centrālo valsts iestāžu prioritārajiem pasākumiem 2024., 2025. un 2026.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23-TA-1995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