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janvārī (prot. Nr. 5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1524 "Noteikumi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1524 "Noteikumi par valsts atbalstu lauksaimniecībai" (Latvijas Vēstnesis, 2013, 253. nr.; 2014, 65., 150., 184., 247. nr.; 2015, 39., 105., 169., 172., 242. nr.; 2016, 19., 59., 240. nr.; 2017, 44., 243. nr.; 2018, 40., 217., 245. nr.; 2019, 48., 166., 250. nr.; 2020, 41., 181. nr.; 2021, 39., 159. nr.; 2022, 34., 239. nr.; 2023, 49., 115., 223.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Atbalsts 2024.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lopkopības attīstībai – 6 079 335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ciltsdarbam un dzīvnieku audzēšanai – 3 369 376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 un vismaz vienu gadu vecu buļļu novērtēšanai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2.1.1.7. ciltsdarba pasākumiem netradicionālajās nozarēs – 124 364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2.1.1.8. 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augkopības attīstībai – 489 013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kultūraugu genofonda un izolātu kolekcijas saglabāšanai, standartšķirnes novērtēšanai, šķirnes identitātes pārbaudei un labību šķirņu izturības pret slimībām novērtēšanai – 223 924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starptautiskai un savstarpējai sadarbībai – 731 586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tehniskajam atbalstam lauksaimniecības nozarē – 278 786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2023. gadā uzsākto atbalsta pasākumu izpildes finansējumam – 551 840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Komisijas 2023. gada 13. decembra Regulas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regula 2023/2831) 1. panta 1. punktā minētajām izslēdzamajām darbībām vai nozarēm, ja atbalsts pretendentam tiek piešķirts saskaņā ar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 regulai 2023/2831 un Komisijas 2013. gada 18. decembra Regulai (EK) Nr. 1408/2013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Atbalstu nepiešķir pretendentam vai gala labuma guvējam, kas lauksaimniecības un pārstrādāto lauksaimniecības produktu, kā arī lauksaimniecības produkcijas ražošanai nepieciešamo izejvielu piegādi no Krievijas Federācijas vai Baltkrievijas Republikas veicis pēc 2024.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nodrošina pārbaudi, lai šo noteikumu 8.5.2. un 8.5.3. apakšpunktā minētais atbalsts triju gadu periodā, skaitot no</w:t>
      </w:r>
      <w:r w:rsidR="00000000" w:rsidRPr="00000000" w:rsidDel="00000000">
        <w:rPr>
          <w:i w:val="1"/>
          <w:rtl w:val="0"/>
        </w:rPr>
        <w:t xml:space="preserve"> de minimis </w:t>
      </w:r>
      <w:r w:rsidR="00000000" w:rsidRPr="00000000" w:rsidDel="00000000">
        <w:rPr>
          <w:rtl w:val="0"/>
        </w:rPr>
        <w:t xml:space="preserve">atbalsta piešķiršanas dienas, nepārsniegtu regulas 2023/2831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bet pēdējo triju fiskālo gadu periodā – regulas Nr. 1408/2013 3. panta 3.a punktā noteikto </w:t>
      </w:r>
      <w:r w:rsidR="00000000" w:rsidRPr="00000000" w:rsidDel="00000000">
        <w:rPr>
          <w:i w:val="1"/>
          <w:rtl w:val="0"/>
        </w:rPr>
        <w:t xml:space="preserve">de minimis</w:t>
      </w:r>
      <w:r w:rsidR="00000000" w:rsidRPr="00000000" w:rsidDel="00000000">
        <w:rPr>
          <w:rtl w:val="0"/>
        </w:rPr>
        <w:t xml:space="preserve"> atbalsta apmēru vienam vienotam uzņēmumam;".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"8.5.2. šo noteikumu 2.11. un 4.3. apakšnodaļā, kā arī 5. un 6.</w:t>
      </w:r>
      <w:r w:rsidR="00000000" w:rsidRPr="00000000" w:rsidDel="00000000">
        <w:rPr>
          <w:vertAlign w:val="superscript"/>
          <w:rtl w:val="0"/>
        </w:rPr>
        <w:t xml:space="preserve">2</w:t>
      </w:r>
      <w:r w:rsidR="00000000" w:rsidRPr="00000000" w:rsidDel="00000000">
        <w:rPr>
          <w:rtl w:val="0"/>
        </w:rPr>
        <w:t xml:space="preserve"> nodaļā minēto atbalstu, nepārsniedzot regulas 2023/2831 3. panta 2. punktā noteikto atbalsta summu vienam vienotam uzņēmumam saskaņā ar minētās regulas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atbalstu šo noteikumu 2.11., 3.4. un 4.3. apakšnodaļā, kā arī 5. un 6.</w:t>
      </w:r>
      <w:r w:rsidR="00000000" w:rsidRPr="00000000" w:rsidDel="00000000">
        <w:rPr>
          <w:vertAlign w:val="superscript"/>
          <w:rtl w:val="0"/>
        </w:rPr>
        <w:t xml:space="preserve">2</w:t>
      </w:r>
      <w:r w:rsidR="00000000" w:rsidRPr="00000000" w:rsidDel="00000000">
        <w:rPr>
          <w:rtl w:val="0"/>
        </w:rPr>
        <w:t xml:space="preserve"> nodaļā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2023/2831 3. panta 2. punktā vai regulas Nr. 1408/2013 3. panta 3.a punktā noteiktajam attiecīgajam robežlielumam saskaņā ar regulas 2023/2831 5. panta 1. un 2. punktu vai regulas Nr. 1408/2013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vai Eiropas Komisijas lēmumā, saskaņā ar regulas 2023/2831 5. panta 3. punktu vai regulas Nr. 1408/2013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lēmumu par atbalsta piešķiršanu saskaņā ar regulu 2023/2831 un regulu Nr. 1408/2013 pieņem līdz regulas 2023/2831 7. panta 3. punktā un 8. pantā un regulas Nr. 1408/2013 7. panta 3.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"8.14. datus par </w:t>
      </w:r>
      <w:r w:rsidR="00000000" w:rsidRPr="00000000" w:rsidDel="00000000">
        <w:rPr>
          <w:i w:val="1"/>
          <w:rtl w:val="0"/>
        </w:rPr>
        <w:t xml:space="preserve">de minimis</w:t>
      </w:r>
      <w:r w:rsidR="00000000" w:rsidRPr="00000000" w:rsidDel="00000000">
        <w:rPr>
          <w:rtl w:val="0"/>
        </w:rPr>
        <w:t xml:space="preserve"> atbalstu glabā atbilstoši regulas 2023/2831 6. panta 3. punktā vai regulas Nr. 1408/2013 6. panta 4.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 ievēro regulas 2023/2831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Pretendents lēmumu par jebkuru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2023/2831 6. panta 3. punktu vai regulas Nr. 1408/2013 6. panta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ir pārkāptas regulā 2022/2472 vai Eiropas Komisijas lēmumā par valsts atbalsta saderību ar Eiropas Savienības iekšējo tirgu noteiktās prasības, atbalsta saņēmējam ir pienākums atmaksāt saņemto nelikumīgo valsts atbalstu. Ja ir pārkāptas regulā 2023/2831 vai regulā Nr. 1408/2013 noteiktās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vecā tipa šķirnes vai Latvijas zilās šķirnes buļļu spermu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Organizācija pēc Lauku atbalsta dienesta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vecā tipa šķirnes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vecā tipa šķirnes un Latvijas zilās šķirnes tipiskuma un populācijas saglabāšanai, lai segtu uzturēšanas un administratīvās izmaksas par Latvijas brūnās vecā tipa šķirnes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datu centram un laboratorijām – 0,94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18.3.1. 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 laboratorijām: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18.3.2.1. par vienu mēnesī veikto pārraudzības un snieguma pārbaudes analīzi piena šķirņu govju un kazu pienam – 0,67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18.3.2.2.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Lai saņemtu šo noteikumu 18.2. apakšpunktā minēto atbalstu, komersants līdz katra nākamā ceturkšņa pirmā mēneša divdesmit piektajam datumam, bet par ceturto ceturksni – līdz nākamā gada 1. februārim iesniedz Lauku atbalsta dienestā iesniegumu (3. pielikums). Iesniegumam pievieno ģenētisko resursu Latvijas brūnās vecā tipa šķirnes vai Latvijas zilās šķirnes buļļu sarakstu un uzglabājamās spermas devu skaitu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līdz kārtējā gada 5. decembrim – samaksu apliecinošo dokumentu kopijas saskaņā ar iesniegto izdevumu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ciltsgrāmatā un kuram ir novērtēts eksterjers un veiktas DNS analīzes."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Lauksaimniecības datu centrs iesniedz Lauku atbalsta dienestā informāciju: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par šo noteikumu 31.1. un 31.2. apakšpunktā minētajām prasībām atbilstošiem dzīvniekiem saskaņā ar dzīvnieku reģistra centrālo datubāzi (pēc stāvokļa kārtējā gada 1. aprīlī) –  līdz kārtējā gada 10. aprīlim;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par šo noteikumu 31.4. apakšpunktā minētajām prasībām atbilstošiem dzīvniekiem saskaņā ar dzīvnieku reģistra centrālo datubāzi  – reizi ceturksnī līdz nākamā ceturkšņa pirmā mēneša divdesmit piektajam datumam, bet par ceturto ceturksni – līdz nākamā gada 1.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Lai saņemtu šo noteikumu 31.4. apakšpunktā minēto atbalstu, organizācija reizi ceturksnī līdz nākamā ceturkšņa pirmā mēneša divdesmit piektajam datumam, bet par ceturto ceturksni – līdz nākamā gada 1. februārim iesniedz Lauku atbalsta dienestā iesniegumu par atbilstošajiem buļļiem (12.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Atbalstu tīršķirnes dzīvnieku ģenētiskās kvalitātes un produktivitātes noteikšanas testiem (darbspēju noteikšanai un novērtēšanai pēc pēcnācēju kvalitātes) pārraudzības ganāmpulkā piešķir organizācijai: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par tāda augstvērtīga sertificēta šķirnes vaislas ērzeļa novērtēšanu pēc pēcnācēju kvalitātes: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57.1.2. kuram pēdējo piecu gadu laikā ir vismaz astoņi tīršķirnes pēcnācēji;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57.1.3. kuram ir sertificēts vai šķirnes ciltskodolā iekļauts vismaz viens pēcnācējs;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par vaislas ērzeļa ģenētiskās kvalitātes noteikšanu un sertificēšanu;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par jaunzirgu sagatavošanu darbspēju pārbaudei un darbspēju noteikšanu, ja jaunzirga tēvs ir sertificēts ērzelis un māte ir tīršķirnes ķēve;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Par šo noteikumu 57., 61. un 63. punktā minēto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59.1. organizācija līdz kārtējā gada 1. martam Lauku atbalsta dienestā iesniedz iesniegumu (19. pielikums). Iesniegumam pievieno to pārraudzības ganāmpulku sarakstu, kuros plānoti ciltsdarba pasākumi, un detalizētu izdevumu tāmi par katru atbalsta pasākumu;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Lauku atbalsta dienests pēc šo noteikumu 59.1. apakšpunktā minēto dokumentu saņemšanas izmaksā priekšapmaksu 95 procentu apmērā no plānotās atbalsta maksājumu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 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59.3.1. par augstvērtīgu sertificētu šķirnes vaislas ērzeļu novērtēšanu pēc pēcnācēju kvalitātes (20.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59.3.2. par vaislas ērzeļu ģenētiskās kvalitātes noteikšanu un sertificēšanu (21.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59.3.3. par jaunzirgu sagatavošanu darbspēju pārbaudei un darbspēju noteikšanu (22.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59.3.4. par kumeļu sagatavošanu vērtēšanai un to ģenētiskās kvalitātes novērtēšanu (23.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59.3.5.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59.3.6. par vaislas ērzeļa un vaislas ķēves eksterjera novērtēšanu (25.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59.3.7. par novērtētiem un ciltsgrāmatā uzņemtiem dzīvniekiem (25.</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62.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Šo noteikumu 56. punktā minēto atbalstu 8,54 </w:t>
      </w:r>
      <w:r w:rsidR="00000000" w:rsidRPr="00000000" w:rsidDel="00000000">
        <w:rPr>
          <w:i w:val="1"/>
          <w:rtl w:val="0"/>
        </w:rPr>
        <w:t xml:space="preserve">euro</w:t>
      </w:r>
      <w:r w:rsidR="00000000" w:rsidRPr="00000000" w:rsidDel="00000000">
        <w:rPr>
          <w:rtl w:val="0"/>
        </w:rPr>
        <w:t xml:space="preserve"> apmērā piešķir organizācijai par ciltsgrāmatā uzņemamu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līdz kārtējā gada 1. decembrim – izdevumus apliecinošu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par vaislai ataudzējama teķa (no viena gada līdz 1,5 gadu vecumam) ģenētiskās kvalitātes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par vaislai audzējamo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Atbalstu 42 000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73.2.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Lauku atbalsta dienests pēc šo noteikumu 73.1. apakšpunktā minēto dokumentu saņemšanas izmaksā priekšapmaksu 95 procentu apmērā no plānotās atbalsta maksājumu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organizācija līdz nākamā gada 10. februārim</w:t>
      </w:r>
      <w:r w:rsidR="00000000" w:rsidRPr="00000000" w:rsidDel="00000000">
        <w:rPr>
          <w:b w:val="1"/>
          <w:rtl w:val="0"/>
        </w:rPr>
        <w:t xml:space="preserve"> </w:t>
      </w:r>
      <w:r w:rsidR="00000000" w:rsidRPr="00000000" w:rsidDel="00000000">
        <w:rPr>
          <w:rtl w:val="0"/>
        </w:rPr>
        <w:t xml:space="preserve">Lauku atbalsta dienestā iesniedz samaksu apliecinošu dokumentu kopijas atbilstoši iesniegtajai izdevumu tāmei un šādus pārskatus: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73.3.1. par ģenētiskās kvalitātes novērtēšanu vaislai ataudzējamiem teķiem (27.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73.3.2. par ģenētiskās kvalitātes noteikšanu pēc pēcnācēju kvalitātes sertificētiem augstvērtīgiem šķirnes vaislas teķiem (28.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Organizācija par šo noteikumu 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96.</w:t>
      </w:r>
      <w:r w:rsidR="00000000" w:rsidRPr="00000000" w:rsidDel="00000000">
        <w:rPr>
          <w:vertAlign w:val="superscript"/>
          <w:rtl w:val="0"/>
        </w:rPr>
        <w:t xml:space="preserve">3</w:t>
      </w:r>
      <w:r w:rsidR="00000000" w:rsidRPr="00000000" w:rsidDel="00000000">
        <w:rPr>
          <w:rtl w:val="0"/>
        </w:rPr>
        <w:t xml:space="preserve"> punktā minētajai izdevumu tāmei un informāciju par pasākuma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Atbalstu sniedz saskaņā ar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"3.2. Atbalsts kultūraugu genofonda un izolātu saglabāšanai, standartšķirnes novērtēšanai, šķirnes identitātes pārbaudei un labības šķirņu izturības pret slimībām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izturību pret 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139.5.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"139.5. novērtē labības šķirņu izturību pret slimībām saskaņā ar normatīvajiem aktiem par augu šķirņu saimniecisko īpašību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Šo noteikumu 139.3.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142.1. 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45. pielikuma 83. punktu, kā arī ar Zemkopības ministriju saskaņoto sugu sējumu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142.2. līdz kārtējā gada 15. jūnijam saskaņo ar Zemkopības ministriju sugu sējumu plānu par vasarājiem, bet līdz kārtējā gada 1. augustam – par ziemājiem."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143.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 Šo noteikumu 139.5.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 līdz kārtējā gada 15. februārim iesniedz Zemkopības ministrijā saskaņošanai tāmi, kura nepārsniedz 17 000 </w:t>
      </w:r>
      <w:r w:rsidR="00000000" w:rsidRPr="00000000" w:rsidDel="00000000">
        <w:rPr>
          <w:i w:val="1"/>
          <w:rtl w:val="0"/>
        </w:rPr>
        <w:t xml:space="preserve">euro </w:t>
      </w:r>
      <w:r w:rsidR="00000000" w:rsidRPr="00000000" w:rsidDel="00000000">
        <w:rPr>
          <w:rtl w:val="0"/>
        </w:rPr>
        <w:t xml:space="preserve">un kurā ietver izmaksas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1.1. šķirņu izmēģinājumu ierīkošanu, kopšanu un labības slimību uzskaiti;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1.2. diviem mācību semināriem, tostarp teorētisko un praktisko, atbilstošo izmēģinājumu veicējiem;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1.3. pārskata sagatavošanu, tostarp par tām šķirnēm, kurām ir otrais un trešais izmēģinājumu gads, iekļaujot kopsavilkumu par visiem izmēģinājumu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1.4. publicitātes nodrošināšanu, tostarp par šķirņu saimniecisko īpašību izmēģinājumu rezultātu apkopošanu, uzturēšanu un publisku pieejamību;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2. līdz kārtējā gada 1. martam iesniedz Lauku atbalsta dienesta elektroniskās pieteikšanās sistēmā iesniegumu, izmantojot Lauku atbalsta dienesta sagatavoto veidlapu, un tāmi, kas saskaņota ar Zemkopības ministriju atbilstoši šo noteikumu 143.</w:t>
      </w:r>
      <w:r w:rsidR="00000000" w:rsidRPr="00000000" w:rsidDel="00000000">
        <w:rPr>
          <w:vertAlign w:val="superscript"/>
          <w:rtl w:val="0"/>
        </w:rPr>
        <w:t xml:space="preserve">1</w:t>
      </w:r>
      <w:r w:rsidR="00000000" w:rsidRPr="00000000" w:rsidDel="00000000">
        <w:rPr>
          <w:rtl w:val="0"/>
        </w:rPr>
        <w:t xml:space="preserve">1.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3. šo noteikumu 143.</w:t>
      </w:r>
      <w:r w:rsidR="00000000" w:rsidRPr="00000000" w:rsidDel="00000000">
        <w:rPr>
          <w:vertAlign w:val="superscript"/>
          <w:rtl w:val="0"/>
        </w:rPr>
        <w:t xml:space="preserve">1</w:t>
      </w:r>
      <w:r w:rsidR="00000000" w:rsidRPr="00000000" w:rsidDel="00000000">
        <w:rPr>
          <w:rtl w:val="0"/>
        </w:rPr>
        <w:t xml:space="preserve">1.3. apakšpunktā minēto pārskatu līdz kārtējā gada 15. novembrim iesniedz apstiprināšanai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Atbalstu sniedz saskaņā ar regulas 2022/2472 21. pantu, regulu 2023/2831 un regulu Nr. 1408/2013.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Atbalstu piešķir Agroresursu un ekonomikas institūtam (turpmāk – institūts) Latvijas lauksaimniecības un pārtikas sektora pārstāvniecības stendu organizēšanai starptautiskajās izstādēs (turpmāk – kopstends), tostarp starptautiskajā lauksaimniecības, pārtikas produktu un dārzniecības izstādē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 192.2.2.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193.1.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"193.1. 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Institūts var izdarīt precizējumus šo noteikumu 192. punktā minētajos dokumentos, ne vēlāk kā 10 darbdienas pirms plānoto darbību uzsākšanas iesniedzot Lauku atbalsta dienestā grozījumu nepieciešamības pamatojumu.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196.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 Institūts ar plašsaziņas līdzekļu starpniecību, izmantojot arī savu tīmekļvietni, publicē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196.1. 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196.2. 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196.3. kopstendu dalībnieku iesniegtajos pārskatos norādīto rezultātu apkopojumu."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5.2.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"5.2. Nosacījumi dalībai kopstendā".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200.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 Atbalstu dalībai kopstendā subsidēta pakalpojuma veidā par šo noteikumu 192.2. apakšpunktā (izņemot 192.2.1.1. apakšpunktu) minētajām izmaksām piešķir šādiem pretendentiem: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 saskaņā ar regulas 2022/2472 24. pantu – sīkajiem (mikro), mazajiem un vidējiem saimnieciskās darbības veicējiem,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200.1.1. atbilst regulas 2022/2472 I pielikumā norādītajiem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200.1.2. nodarbojas ar Līguma par Eiropas Savienības darbību I pielikumā minēto lauksaimniecības un pārtikas produktu (izņemot zivsaimniecības produktus) ražošanu un tirdzniecību;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200.2. saskaņā ar regulu 2023/2831 vai regulu Nr. 1408/2013, nodrošinot šo noteikumu 8.4., 8.5.2., 8.5.3., 8.6., 8.13. un 8.14. apakšpunktā, kā arī 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 – saimnieciskās darbības veicējiem, kas nodarbojas ar  lauksaimniecības un pārtikas produktu (izņemot zivsaimniecības produktus) ražošanu un tirdzniecību, bet neatbilst šo noteikumu 200.1.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200.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vertAlign w:val="superscript"/>
          <w:rtl w:val="0"/>
        </w:rPr>
        <w:t xml:space="preserve">1</w:t>
      </w:r>
      <w:r w:rsidR="00000000" w:rsidRPr="00000000" w:rsidDel="00000000">
        <w:rPr>
          <w:rtl w:val="0"/>
        </w:rPr>
        <w:t xml:space="preserve"> Atbalstu nepiešķir pretendentam, kam ir nesamaksāti rēķini par dalību kopstendā iepriekšējos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201.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202.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 203.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Ja pretendentu skaits pārsniedz šo noteikumu 196.2. apakšpunktā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205.2.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 kurš minēts šo noteikumu 200.2. apakšpunktā,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Institūts pretendentu iesniegto dokumentu izvērtēšanai un lēmumu pieņemšanai izveido komisiju. Komisija iesniegumus vērtē to iesniegšanas secībā, ņemot vērā piešķirto finansējumu un šo noteikumu 204. punktā minētos nosacījumus, atbilstoši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 iesniegums un tam pievienotie dokumenti ir sagatavoti un iesniegti atbilstoši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206.2. pretendents un iesniegumā norādītā starptautiskā izstāde atbilst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 pretendents atbilst šo noteikumu 7.2. un 8.5. apakšpunktā, kā arī 200.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207.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Pēc iesnieguma izvērtēšanas komisija pieņem lēmumu par atbalsta piešķiršanu vai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209.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 Ja iesniegums tiek apstiprināts, institūts slēdz līgumu ar pretendentu par dalību kopstendā."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212.1.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"212.1. apstiprināt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 212.2.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215.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Attaisnotie izdevumi institūtam nepārsniedz šo noteikumu 193.1. apakšpunktā minētā finansējuma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2. 50 000 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3. 20 000 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b w:val="1"/>
          <w:rtl w:val="0"/>
        </w:rPr>
        <w:t xml:space="preserve"> Atbalsts lauksaimniecības un mežsaimniecības nozares profesionālās izglītības programmu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Atbalstu piešķir šādu pasākumu īstenošanai, tostarp administratīvajām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 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 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 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 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 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 lauksaimniecības un mežsaimniecības profesiju popularizēšanai un skolu jauniešu informēšanai, tostarp konferenču un semināru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Atbalstu piešķir saskaņā ar regulu 2023/2831.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 24.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25.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27.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45.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54.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55.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23-TA-2874</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23-TA-2874</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noteikumu_(grozījumu)_projekts_23-TA-2874.docx</dc:title>
</cp:coreProperties>
</file>

<file path=docProps/custom.xml><?xml version="1.0" encoding="utf-8"?>
<Properties xmlns="http://schemas.openxmlformats.org/officeDocument/2006/custom-properties" xmlns:vt="http://schemas.openxmlformats.org/officeDocument/2006/docPropsVTypes"/>
</file>