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Pieļaujamie svina, dzīvsudraba, kadmija, sešvērtīgā hroma, polibromēto bifenilu un polibromēto difenilēteru lietojumi medicīnas ierīcēs un kontroles un monitoringa instrumentos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880"/>
        <w:gridCol w:w="2814"/>
        <w:tblGridChange w:id="0">
          <w:tblGrid>
            <w:gridCol w:w="802"/>
            <w:gridCol w:w="5880"/>
            <w:gridCol w:w="2814"/>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lietojums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termiņi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 izmanto jonizējošā starojuma noteikšanai: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jonizējošā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gultņi rentgenlampās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elektromagnētiskā starojuma pastiprināšanas ierīcēs: mikrokanālu plate un kapilārplate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rentgenlampu stikla fritēs un attēla pastiprinātājos un svins stikla frites saistvielā, kas paredzēta gāzes lāzeru un vakuumlampu savienošanai, lai pārveidotu elektromagnētisko starojumu elektronos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aizsargekrānos pret jonizējošo starojumu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testa objektos, ko izmanto rentgenstarojuma jomā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stearāta kristālos, ko izmanto rentgenstaru difrakcijā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radioaktīva kadmija izotopa avots pārnēsājamos rentgenstaru fluorescences spektrometros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Sensori, detektori un elektrodi: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jonu selektīvajos elektrodos, tostarp stikla korpuss pH elektrodiem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anodi elektroķīmiskajos skābekļa sensoros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infrasarkanā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standartelektrodos: dzīvsudraba hlorīds ar zemu hlora saturu, dzīvsudraba sulfāts un dzīvsudraba oksīds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hēlija-kadmija lāzeros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lampās, ko izmanto atomabsorbcijas spektroskopijā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sakausējumi kā supravadītājs un siltumvadītājs magnētiskās rezonanses attēlu iegūšanas ierīcē (MRI)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metāla stiprinājumos, ar ko veido supravadošas magnētiskās ķēdes MRI, SQUID, NMR (kodolmagnētiskā rezonanse) vai FTMS (Furjē transformāciju masspektrometrs)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atsvaros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monokristālu pjezoelektriskajos materiālos, kas paredzēti ultraskaņas devējiem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ko izmanto ultraskaņas devēju stiprinājumos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mērtiltos ar augstas precizitātes kapacitatīvo pretestību un zuduma koeficientu un augstfrekvences RF slēdžos un relejos, kas ir monitoringa un kontroles instrumentos, kuros dzīvsudraba daudzums vienā slēdzī vai relejā nepārsniedz 20 mg</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portatīvos, ārkārtas gadījumiem paredzētajos defibrillatoros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augstas izšķirtspējas infrasarkano staru attēlu atveides moduļos, lai noteiktu starojumu 8–14 μm diapazonā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šķidrajos kristālos, kas izmantoti silikona displejos (LcoS)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rentgenstarojuma mērījuma filtros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rentgena attēlu pastiprinātāju fosfora pārklājumos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acetāta marķieris izmantošanai stereotakses rāmjos, ko izmanto, veicot datortomogrāfiju un magnētiskās rezonanses caurskati, un gamma terapijas un hadronu terapijas iekārtu pozicionēšanas sistēmās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jonizējošam starojumam pakļauta medicīniskā aprīkojuma gultņos un nodiluma virsmās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lai veidotu hermētiskus savienojumus starp alumīniju un tēraudu rentgena attēlu pastiprinātājos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kontaktspraudņu sistēmu virsmas pārklājumos, kad ir vajadzīgi nemagnētiski spraudņi, ko normālos ekspluatācijas un glabāšanas apstākļos ilgstoši izmanto temperatūrā, kas zemāka par –20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turpmāk minētajos izmantošanas veidos, ko normālos ekspluatācijas un glabāšanas apstākļos ilgstoši izmanto temperatūrā, kas zemāka par –20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lodmetālos drukātās shēmas platēs;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elektrisko un elektronisko sastāvdaļu savienojumu pārklājumos un drukātās shēmas plašu pārklājumos;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vadu un kabeļu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devēju un sensoru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elektriskos savienojumos ar temperatūras mērīšanas sensoriem ierīcēs, kuras ir paredzēts periodiski izmantot temperatūrā, kas ir zemāka par –150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savienojumu un drukātās shēmas plašu pārklājumos, elektrisko vadu savienojumos, ekrānos un slēgtos savienotājos,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magnētiskajos laukos 1 m rādiusā no magnēta izocentra medicīniskās magnētiskās rezonanses caurskates iekārtās, tostarp pacienta novērošanas ierīcēs, ko paredzēts izmantot šajā zonā,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magnētiskajos laukos 1 m attālumā no ciklotrona magnētu ārējām virsmām vai staru kūļa pārvietošanai un virziena vadībai izmantotu magnētu ārējām virsmām, ko lieto hadronu terapijā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lai kadmija-telurīda un kadmija-cinka-telurīda digitālo matricu detektorus uzmontētu uz drukātās shēmas platēm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supravadītājs vai siltumvadītājs, ko izmanto kriodzesētāju dzesēšanas galvās vai kriodzesētās aukstumzondēs, vai kriodzesētās ekvipotenciālās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 sārma dozatoros, ko izmanto, lai radītu fotokatodus rentgena attēla pastiprinātājos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sešvērtīgais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5. novembrim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sešvērtīgais hroms un polibromdifenilēteri (PBDE) rezerves daļās, kas iegūtas no medicīniskajām ierīcēm (tostarp </w:t>
            </w:r>
            <w:r w:rsidR="00000000" w:rsidRPr="00000000" w:rsidDel="00000000">
              <w:rPr>
                <w:i w:val="1"/>
                <w:rtl w:val="0"/>
              </w:rPr>
              <w:t xml:space="preserve">in vitro</w:t>
            </w:r>
            <w:r w:rsidR="00000000" w:rsidRPr="00000000" w:rsidDel="00000000">
              <w:rPr>
                <w:rtl w:val="0"/>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no 2017. gada 6. novembra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2021. gada 21. jūlijam attiecībā uz lietojumiem medicīniskajās ierīcēs, kas nav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2023. gada 21. jūlijam attiecībā uz lietojumiem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2024. gada 21. jūlijam attiecībā uz lietojumiem elektronu mikroskopos un to piederumos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kas iemontētas magnētiskās rezonanses caurskates iekārtās integrētu pozitronu emisijas tomogrāfu detektoros un datu ieguves blokos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defibrillatorus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gāzizlādes lampās, ja tās izmanto kā ekstrakorporālās fotoferēzes lampas, kas satur tādus fosforus kā BSP (BaSi </w:t>
            </w:r>
            <w:r w:rsidR="00000000" w:rsidRPr="00000000" w:rsidDel="00000000">
              <w:rPr>
                <w:vertAlign w:val="subscript"/>
                <w:rtl w:val="0"/>
              </w:rPr>
              <w:t xml:space="preserve">2</w:t>
            </w:r>
            <w:r w:rsidR="00000000" w:rsidRPr="00000000" w:rsidDel="00000000">
              <w:rPr>
                <w:rtl w:val="0"/>
              </w:rPr>
              <w:t xml:space="preserve"> O </w:t>
            </w:r>
            <w:r w:rsidR="00000000" w:rsidRPr="00000000" w:rsidDel="00000000">
              <w:rPr>
                <w:vertAlign w:val="subscript"/>
                <w:rtl w:val="0"/>
              </w:rPr>
              <w:t xml:space="preserve">5</w:t>
            </w:r>
            <w:r w:rsidR="00000000" w:rsidRPr="00000000" w:rsidDel="00000000">
              <w:rPr>
                <w:rtl w:val="0"/>
              </w:rPr>
              <w:t xml:space="preserve"> :Pb)</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22.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luminiscences spuldzēs, kurās dzīvsudraba saturs nepārsniedz 5 mg spuldzē, aizmugurapgaismojuma šķidro kristālu displejiem, kurus izmanto rūpnieciskajos monitoringa un kontroles instrumentos, kas laisti tirgū līdz 2017. gada 22. jūlijam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pielāgojamu kontakttapu sistēmās, kuras nav </w:t>
            </w:r>
            <w:r w:rsidR="00000000" w:rsidRPr="00000000" w:rsidDel="00000000">
              <w:rPr>
                <w:i w:val="1"/>
                <w:rtl w:val="0"/>
              </w:rPr>
              <w:t xml:space="preserve">C-press</w:t>
            </w:r>
            <w:r w:rsidR="00000000" w:rsidRPr="00000000" w:rsidDel="00000000">
              <w:rPr>
                <w:rtl w:val="0"/>
              </w:rPr>
              <w:t xml:space="preserve"> pielāgojamu kontakttapu (kontaktsaderīgu savienotāju) sistēmas un kuras izmanto vadītspējas mērīšanai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2020. gada 31. decembra to drīkst izmantot pirms 2021. gada 1. janvāra tirgū laistu rūpniecisku monitoringa un kontroles instrumentu rezerves daļām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platīnu pārklātos platīna elektrodos, ko izmanto vadītspējas mērīšanai apstākļos, kuros ir spēkā vismaz viens no šādiem nosacījumiem: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2025. gada 31. decembrim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plaša diapazona mērījumi, kuros, laboratorijā lietojot nezināmas koncentrācijas, vadītspējas diapazons aptver vairāk nekā vienu kārtu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ar šķīdumiem veikti mērījumi, kuros precizitāte +/– 1 % no paraugkopas vērtību diapazona un elektroda augsta korozijnoturība ir nepieciešama kaut vienam no šādiem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skābums ir &lt; pH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sārmainība ir &lt; pH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gāzveida halogēnus saturošiem korozīviem šķīdumiem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mērījumi vadītspējai virs 100 mS/m, kas veicami ar portatīviem instrumentiem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lietošana tādā lodmetālā, ko datortomogrāfu un rentgensistēmu rentgenstaru detektoros izmanto vienā saskares plaknē plašvirsmas grēdotos mikroshēmelementos, kur uz vienu saskares plakni ir vairāk nekā 500 savstarpējo 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2019. gada 31. decembra drīkst izmantot to datortomogrāfu un rentgena sistēmu rezerves daļās, kas laistas tirgū pirms 2020.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mikrokanālu platēs ( </w:t>
            </w:r>
            <w:r w:rsidR="00000000" w:rsidRPr="00000000" w:rsidDel="00000000">
              <w:rPr>
                <w:i w:val="1"/>
                <w:rtl w:val="0"/>
              </w:rPr>
              <w:t xml:space="preserve">MCP</w:t>
            </w:r>
            <w:r w:rsidR="00000000" w:rsidRPr="00000000" w:rsidDel="00000000">
              <w:rPr>
                <w:rtl w:val="0"/>
              </w:rPr>
              <w:t xml:space="preserve"> ), kuras izmanto iekārtās, kam piemīt vismaz viena no šādām īpašībām: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attiecībā uz medicīnas ierīcēm un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1. jūlijam – attiecībā uz medicīnas ierīcēm </w:t>
            </w:r>
            <w:r w:rsidR="00000000" w:rsidRPr="00000000" w:rsidDel="00000000">
              <w:rPr>
                <w:i w:val="1"/>
                <w:rtl w:val="0"/>
              </w:rPr>
              <w:t xml:space="preserve">in vitro</w:t>
            </w:r>
            <w:r w:rsidR="00000000" w:rsidRPr="00000000" w:rsidDel="00000000">
              <w:rPr>
                <w:rtl w:val="0"/>
              </w:rPr>
              <w:t xml:space="preserve"> diagnostikai;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rūpnieciskā monitoringa un kontroles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elektronu vai jonu detektora izmērs, ja detektoram ir paredzēta ierobežota vieta – ne vairāk kā 3 mm/ </w:t>
            </w:r>
            <w:r w:rsidR="00000000" w:rsidRPr="00000000" w:rsidDel="00000000">
              <w:rPr>
                <w:i w:val="1"/>
                <w:rtl w:val="0"/>
              </w:rPr>
              <w:t xml:space="preserve">MCP</w:t>
            </w:r>
            <w:r w:rsidR="00000000" w:rsidRPr="00000000" w:rsidDel="00000000">
              <w:rPr>
                <w:rtl w:val="0"/>
              </w:rPr>
              <w:t xml:space="preserve"> (detektora biezums + </w:t>
            </w:r>
            <w:r w:rsidR="00000000" w:rsidRPr="00000000" w:rsidDel="00000000">
              <w:rPr>
                <w:i w:val="1"/>
                <w:rtl w:val="0"/>
              </w:rPr>
              <w:t xml:space="preserve">MCP</w:t>
            </w:r>
            <w:r w:rsidR="00000000" w:rsidRPr="00000000" w:rsidDel="00000000">
              <w:rPr>
                <w:rtl w:val="0"/>
              </w:rPr>
              <w:t xml:space="preserve"> uzstādīšanas laukums), kopumā ne vairāk kā 6 mm – un ja uzstādīt alternatīvu konstrukciju, kas detektoram atvēlētu vairāk vietas, ne zinātniski, ne tehniski nav iespējams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divdimensiju telpiskā izšķirtspēja elektronu vai jonu noteikšanai, kur spēkā ir vismaz viens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reakcijas laiks nepārsniedz 25 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parauga noteikšanas laukums ir lielāks par 149 mm </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daudzkāršošanas koeficients ir lielāks par 1,3 × 10 </w:t>
            </w:r>
            <w:r w:rsidR="00000000" w:rsidRPr="00000000" w:rsidDel="00000000">
              <w:rPr>
                <w:vertAlign w:val="super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laiks elektronu vai jonu noteikšanā nepārsniedz 5 ns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noteikšanas laukums elektronu vai jonu noteikšanā ir lielāks par 314 mm </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reizināšanas koeficients ir lielāks par 4,0 × 10 </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dielektriskajā keramikā, kuri paredzēti nominālajam spriegumam līdz 125 V maiņstrāvai vai 250 V līdzstrāvai un kurus izmanto rūpnieciskā monitoringa un kontroles instrumentos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 Pēc 2020. gada 31. decembra drīkst izmantot tādu rūpnieciskā monitoringa un kontroles instrumentu rezerves daļās, kas laisti tirgū pirms 2021.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tāda polivinilhlorīda (PVC) termiskais stabilizators, ko lieto par bāzes materiālu ampērmetriskos, potenciometriskos un konduktometriskos elektroķīmiskajos sensoros, kurus izmanto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2022. gada 31. martam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Dzīvsudraba izmantošana elektriskos rotējošos savienotājos, ko izmanto intravaskulārās ultraskaņas attēlveidošanas sistēmās, kuras spēj darboties augstfrekvenču režīmā (&gt; 50 MHz)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2026. gada 30. jūnijam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anodi Herša galvaniskajos elementos, kas paredzēti rūpnieciskos monitoringa un kontroles instrumentos izmantojamiem skābekļa sensoriem, ja jānodrošina jutība, kas mazāka par 10 ppm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2023. gada 15.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starojumizturīgos videokameru kineskopos, kas paredzēti kamerām, kuru izšķirtspēja centrā ir lielāka par 450 TVL un kuras izmanto vidē, kur tās eksponētas jonizējošam starojumam ar dozas jaudu, kas pārsniedz 100 Gy/h, un kopējo dozu, kas pārsniedz 100 kGy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2027. gada 31. martam piemēro šo noteikumu 2. pielikumā minētajai 9. iekārtu kategorijai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jonselektīvajos elektrodos, ko izmanto cilvēka ķermeņa šķidrumu un/vai dializāta jonisko vielu analīzei aprūpes vietā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2028.gada 1.jūlijam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MRI detektorspoļu plastmasas detaļās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2024.gada 1.janvārim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butilbenzilftalāts (BBP), dibutilftalāts (DBP) un diizobutilftalāts (DIBP) rezerves daļās, kas atgūtas no medicīniskām ierīcēm, arī in vitro diagnostikas medicīniskajām ierīcēm, un izmantotas šo ierīču remontam vai pārjaunošanai, ar nosacījumu, ka atkalizmantošana notiek revidējamās slēgta cikla uzņēmumu mijmaiņas sistēmās un par katru atkalizmantošanas gadījumu tiek paziņots patērētājam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2028.gada 1.jūlijam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noteikumu_konsolidētā_versija_p4_22-TA-270.docx</dc:title>
</cp:coreProperties>
</file>

<file path=docProps/custom.xml><?xml version="1.0" encoding="utf-8"?>
<Properties xmlns="http://schemas.openxmlformats.org/officeDocument/2006/custom-properties" xmlns:vt="http://schemas.openxmlformats.org/officeDocument/2006/docPropsVTypes"/>
</file>