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higiēnas un saimniecības preču drošuma prasības un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Ziepes, matu šampūns un krēms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Ziepes un matu šampūns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Ziepju un matu šampūna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Ziepes, matu šampūns un krēms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Ziepju, matu šampūna (tai skaitā visām vecuma grupām, zīdaiņiem un maziem bērniem) un bērnu krēma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1.2.1.1. Ziepes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Piemērotas arī sausai un jutīgai ādai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1.2.1.2. Matu šampūns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Šampūns zīdaiņu un bērnu galvas ādas un matu kopšanai ar barojošu un mitrinošu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1.2.1.3. Krēms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Krēms zīdaiņu un mazu bērnu ādas kopšanai un profilaktiskai aizsardzībai pret mitrumu, apsārtumu, iekaisumu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krāsvielām un konservantiem, satur antioksidantu, nesatur smaržvielas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Zobu pasta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Zobu pasta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Zobu pastas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Zobu pasta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Zobu pastas izplatīšanā ievērotas prasības, kas noteiktas Eiropas Parlamenta un Padomes 2009. gada 30. novembra Regulas (EK) Nr. 1223/2009 par kosmētikas līdzekļiem III pielikumā.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Piedevas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fluoru, ne mazāk kā 1000 ppm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 dabīgu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triklozānu, nātrija laurilsulfātu un saharīnu.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Jebkurai zobu pastai, kas satur no 0,1 % līdz 0,15 % fluora, ja vien tā jau nav marķēta kā tāda, kas nav paredzēta bērniem (piemēram, "tikai pieaugušajiem"), jābūt marķētai šādi: "Bērniem vecumā līdz sešiem gadiem: lietot pastu zirņa lielumā un tīrīt zobus pieaugušā uzraudzībā, lai samazinātu norīšanas iespēju. Ja lietojat citus fluoru saturošus produktus, konsultējieties ar zobārstu vai ārstu"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Zobu suka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Zobu suka visām vecuma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vai vidēji cieti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 Zobu suka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vecuma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Veļas mazgāšanas un trauku mazgāšanas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mazgāšanas un trauku mazgāšanas līdzekļu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2004. gada 31. marta Regulā (EK) Nr. 648/2004 par mazgāšanas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mazgāšanas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Autiņbiksītes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Zīdaiņiem un maziem bērniem paredzēto autiņbiksīšu ražošanā un izplatīšanā ievērotas prasības, kas noteiktas Eiropas Komisijas 2014. gada 24. oktobra lēmumā Nr. 2014/763/ES, ar ko nosaka ekoloģiskos kritērijus ES ekomarķējuma piešķiršanai absorbējošiem higiēnas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Hipoalerģisks, bez hlora, virskārta 100 % bioloģiski sadalās, izgatavotas no atjaunojamiem resursiem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klipšu aizdari, vairākkārtēja (vismaz 3 reizes) klipšu fiksācija, ar elastīgu jostiņu priekšpusē un mugurpusē, īpašām elastīgām aizsargbarjerām papildu aizsardzībai pret noplūdēm, uzsūcošo slāni, kas nodrošina sausu kontaktvirsmu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Autiņi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Marle, 100 % kokvilna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Daudzreiz lietojams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Mitrās salvetes zīdaiņu un mazu bērnu ādas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Zīdaiņu un mazu bērnu ādas kopšanai paredzēto mitro salvešu ražošanā un izplatīšanā ievērotas prasības, kas noteiktas Eiropas Parlamenta un Padomes 2009. gada 30. novembra Regulā (EK) Nr. 1223/2009 par kosmētikas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aromāta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alkoholu un parabēnus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Citu higiēnas vai saimniecības preču drošuma un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Saskaņā ar Ministru kabineta 2022. gada 21. jūnija noteikumu Nr. 381 "Eiropas Sociālā fonda Plus programmas materiālās nenodrošinātības mazināšanai 2021.–2027. gadam īstenošanas noteikumi" 21. punktu atbilstoši veiktajam situācijas izvērtējumam ir pieļaujama citu higiēnas un saimniecības preču iekļaušana komplektā, ja tās atbilst šo noteikumu un citu normatīvo aktu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Medicīnisko sejas masku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Medicīnisko sejas masku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2017. gada 5. aprīļa Regulā (ES) 2017/745, kas attiecas uz medicīniskām ierīcēm, ar ko groza Direktīvu 2001/83/EK, Regulu (ES) Nr. 178/2002 un Regulu (EK) Nr. 1223/2009 un atceļ Padomes Direktīvas 90/385/EK un 93/42/EEK,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standartā LVS EN 14683:2019 "Medicīniskās sejas maskas. Prasības un testēšanas metodes", vai tām ekvivalentas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Materiāla filtrācijas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filtrācijas efektivitāte 95 %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 un lietošanas instrukcija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Marķējumā norādīts: CE marķējums, ražotāja nosaukums vai preču zīme, modeļa numurs vai nosaukums, maskas veids (kategorija), piemērotā standarta numurs un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 lietošanas instrukcija vai norāde uz iepakojuma: ražotāja norādījumi par preces pareizu lietošanu un uzglabāšanas apstākļiem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Roku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Roku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atbilstoša produktam (var būt ar alkohola smaku)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Virsmu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Virsmu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5880"/>
        <w:tblGridChange w:id="0">
          <w:tblGrid>
            <w:gridCol w:w="3580"/>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24-TA-2210</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24-TA-2210</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noteikumu_konsolidētā_versija_p3_24-TA-2210.docx</dc:title>
</cp:coreProperties>
</file>

<file path=docProps/custom.xml><?xml version="1.0" encoding="utf-8"?>
<Properties xmlns="http://schemas.openxmlformats.org/officeDocument/2006/custom-properties" xmlns:vt="http://schemas.openxmlformats.org/officeDocument/2006/docPropsVTypes"/>
</file>