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Finanšu ministrijas pārziņā esošo Eiropas Savienības fondu un ārvalstu finanšu palīdzības aktualitātēm līdz 2025. gada oktobrim"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Eiropas Komisijas apstiprinātos Atveseļošanas un noturības mehānisma (turpmāk – Atveseļošanas fonds) Darbības kārtības, par kuru vienojas Eiropas Komisija un Latvija, otros grozījumus, ar kuriem izslēgta prasība par Atveseļošanas fonda starpposma uzraudzības rādītājiem, pieņemt zināšanai, ka atbildīgās nozaru ministrijas un Valsts kanceleja tehniskus grozījumus Ministru kabineta noteikumos par Atveseļošanas fonda plāna reformu vai investīciju ieviešanu, lai šīs izmaiņas fiksētu, veiks vienlaikus ar citiem būtiskiem grozījumiem attiecīgajos reformu vai investīciju īstenošanas nosacījumos.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Izglītības un zinātnes ministrijas priekšlikumu attiecībā uz Latvijas Atveseļošanas un noturības mehānisma plāna 2.3.2.1.i. investīcijas "Digitālās prasmes iedzīvotājiem t. sk. jauniešiem" (turpmāk – 2.3.2.1.i. investīcija) projektu īstenošanas termiņa pagarinājumu, atļaut Centrālajai finanšu un līgumu aģentūrai (turpmāk – CFLA) veikt vienošanās par 2.3.2.1.i. investīcijas projektu īstenošanu grozījumus, kas saistīti ar īstenošanas termiņa pagarināšanu līdz 2026. gada 30. jūnijam. Pieņemt zināšanai, ka Izglītības un zinātnes ministrija nevirza atsevišķu informatīvo ziņojumu papildus Ministru kabineta 2023. gada 13. jūlija sēdē izskatītajam informatīvajam ziņojumam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 (prot. Nr. 36 96. §), lai šīs izmaiņas fiksētu, ja vien nav nepieciešami citi grozījumi īstenošanas nosacījumos.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(turpmāk – ES) fondu 2021.–2027. gada plānošanas perioda investīciju optimālu ieviešanu, ES fondu piešķīruma saņemšanu pilnā apmērā minētā plānošanas perioda ietvaros, kā arī lai izmantotu iespējas finansēt aktuālās vajadzības un aktivitātes ar augstāku tautsaimniecības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ka kārtējā ES fondu tematiskās komitejas sēdē tiks izskatīts jautājums par ES fondu finansējuma pārskatīšanu, tai skaitā vērtējot iespējamās pārdales no tām investīcijām, par kurām ES fondu atbildīgās iestādes līdz 2025. gada 15. oktobrim nav uzsākušas Ministru kabineta noteikumu projektu par specifisko atbalsta mērķu vai to pasākumu īstenošanu saskaņošanas procesu Vienotajā tiesību aktu projektu izstrādes un saskaņošanas portālā (TAP portāls);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kārtējā ES fondu tematiskās komitejas sēdē Finanšu ministrija informēs par ES fondu investīciju ieviešanas progresu un apkopotajām aktuālajām investīciju prioritātēm iespējamai ES fondu finansējuma pārdalei;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veicinātu ES fondu 2021.–2027. gada plānošanas perioda investīciju ātrāku uzsākšanu un mazinātu finanšu riskus, negaidot Eiropas Komisijas lēmumu par grozījumiem ES kohēzijas politikas programmā 2021.–2027. gadam attiecībā uz elastības finansējuma pieejamību, atļaut CFLA, pamatojoties uz Izglītības un zinātnes ministrijas un Tieslietu ministrijas priekšlikumiem, veikt vienošanās par projekta īstenošanu grozījumus, palielinot projekta finansējumu par elastības finansējuma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4.2.2.3. pasākuma "Mācību procesa kvalitātes pilnveide, īstenojot pedagogu profesionālās darbības atbalsta sistēmas attīstību, izglītojamo izcilības aktivitāšu nodrošināšanu un metodiskā atbalsta materiālu izstrādi pedagogam" ietvaros par Eiropas Sociālā fonda Plus elastības finansējumu ne vairāk kā 15 393 091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ietvaros par elastības finansējumu ne vairāk kā 464 766 </w:t>
      </w:r>
      <w:r w:rsidR="00000000" w:rsidRPr="00000000" w:rsidDel="00000000">
        <w:rPr>
          <w:i w:val="1"/>
          <w:rtl w:val="0"/>
        </w:rPr>
        <w:t xml:space="preserve">euro </w:t>
      </w:r>
      <w:r w:rsidR="00000000" w:rsidRPr="00000000" w:rsidDel="00000000">
        <w:rPr>
          <w:rtl w:val="0"/>
        </w:rPr>
        <w:t xml:space="preserve">(tai skaitā Eiropas Sociālā fonda Plus elastības finansējums 395 051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4.3.4.7. pasākuma "Nodarbināmības priekšnosacījumu nodrošināšana ieslodzītajiem, pilnveidojot resocializācijas sistēmas efektivitāti, sekmējot bijušo ieslodzīto iekļaušanos, vienlīdzīgas iespējas un aktīvu līdzdalību" ietvaros par elastības finansējumu ne vairāk kā 464 767 </w:t>
      </w:r>
      <w:r w:rsidR="00000000" w:rsidRPr="00000000" w:rsidDel="00000000">
        <w:rPr>
          <w:i w:val="1"/>
          <w:rtl w:val="0"/>
        </w:rPr>
        <w:t xml:space="preserve">euro</w:t>
      </w:r>
      <w:r w:rsidR="00000000" w:rsidRPr="00000000" w:rsidDel="00000000">
        <w:rPr>
          <w:rtl w:val="0"/>
        </w:rPr>
        <w:t xml:space="preserve"> (tai skaitā Eiropas Sociālā fonda Plus finansējums 395 052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netiek saņemts pozitīvs Eiropas Komisijas lēmums par grozījumiem ES kohēzijas politikas programmā 2021.–2027. gadam, kas skar šā protokollēmuma 4.3.1. apakšpunktā minētā pasākuma elastības finansējuma izmantošanu, Izglītības un zinātnes ministrijai nekavējoties sagatavot un izglītības un zinātnes ministram iesniegt Ministru kabinetā informatīvo ziņojumu par priekšlikumiem turpmākai rīcībai;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netiek saņemts pozitīvs Eiropas Komisijas lēmums par grozījumiem ES kohēzijas politikas programmā 2021.–2027. gadam, kas skar šā protokollēmuma 4.3.2. un 4.3.3. apakšpunktā minēto pasākumu elastības finansējuma izmantošanu, Tieslietu ministrijai nekavējoties sagatavot un tieslietu ministram iesniegt Ministru kabinetā informatīvo ziņojumu par priekšlikumiem turpmākai rīcībai.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informatīvā ziņojuma 2. sadaļā minēto informāciju par ES fondu 2014.–2020. gada plānošanas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priekšlikumu projekta Nr. 9.1.1.3/15/I/001 "Atbalsts sociālajai uzņēmējdarbībai" nedeklarējamos izdevumus 63 772,41 </w:t>
      </w:r>
      <w:r w:rsidR="00000000" w:rsidRPr="00000000" w:rsidDel="00000000">
        <w:rPr>
          <w:i w:val="1"/>
          <w:rtl w:val="0"/>
        </w:rPr>
        <w:t xml:space="preserve">euro</w:t>
      </w:r>
      <w:r w:rsidR="00000000" w:rsidRPr="00000000" w:rsidDel="00000000">
        <w:rPr>
          <w:rtl w:val="0"/>
        </w:rPr>
        <w:t xml:space="preserve"> apmērā (tai skaitā ES finansējums – 54 206,55 </w:t>
      </w:r>
      <w:r w:rsidR="00000000" w:rsidRPr="00000000" w:rsidDel="00000000">
        <w:rPr>
          <w:i w:val="1"/>
          <w:rtl w:val="0"/>
        </w:rPr>
        <w:t xml:space="preserve">euro</w:t>
      </w:r>
      <w:r w:rsidR="00000000" w:rsidRPr="00000000" w:rsidDel="00000000">
        <w:rPr>
          <w:rtl w:val="0"/>
        </w:rPr>
        <w:t xml:space="preserve"> un valsts budžeta finansējums – 9565,86 </w:t>
      </w:r>
      <w:r w:rsidR="00000000" w:rsidRPr="00000000" w:rsidDel="00000000">
        <w:rPr>
          <w:i w:val="1"/>
          <w:rtl w:val="0"/>
        </w:rPr>
        <w:t xml:space="preserve">euro</w:t>
      </w:r>
      <w:r w:rsidR="00000000" w:rsidRPr="00000000" w:rsidDel="00000000">
        <w:rPr>
          <w:rtl w:val="0"/>
        </w:rPr>
        <w:t xml:space="preserve">) segt no valsts budžeta virssaistībām, neatgūstot no finansējuma saņēmēja;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2023. gada 14. novembra sēdes protokollēmuma (prot. Nr. 57 47. §) "Informatīvais ziņojums "Par Finanšu ministrijas pārziņā esošo Eiropas Savienības fondu un ārvalstu finanšu palīdzības aktualitātēm līdz 2023. gada 1. septembrim (pusgada ziņojums)"" 3.2. apakšpunktu, ņemot vērā par attiecināmiem izdevumiem atzīto konstatēto neatbilstību Valsts ieņēmumu dienesta projektā Nr. 2.2.1.1/16/I/002 "Nodokļu informācijas pakalpojumu modernizācija MAIS kodols";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CFLA veikt līguma vai vienošanās grozījumus ar ES fondu 2014.–2020. gada plānošanas perioda finansējuma saņēmējiem, paredzot enerģijas patēriņa un ietaupījumu ziņošanu vienu reizi par pilno kalendāra gadu pēc projekta beigām, pamatojoties uz Klimata un enerģētikas ministrijas (kā par enerģētikas politikas īstenošanu atbildīgās ministrijas) sniegto viedokli, un pieņemt zināšanai, ka tehniskus grozījumus ES fondu 2014.–2020. gada plānošanas perioda Ministru kabineta noteikumos par specifisko atbalsta mērķu vai to pasākumu īstenošanu ministrijas veiks vienlaikus ar citiem būtiskiem grozījumiem attiecīgajos Ministru kabineta noteikumos.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25-TA-1922</w:t>
    </w:r>
    <w:r>
      <w:br/>
    </w:r>
    <w:r w:rsidR="00000000" w:rsidRPr="00000000" w:rsidDel="00000000">
      <w:rPr>
        <w:rtl w:val="0"/>
      </w:rPr>
      <w:t xml:space="preserve">Izdrukāts 29.07.2026. 22.52 - 1.0.VK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mk_sēdes_protokollēmuma_projekts_25-TA-1922.docx</dc:title>
</cp:coreProperties>
</file>

<file path=docProps/custom.xml><?xml version="1.0" encoding="utf-8"?>
<Properties xmlns="http://schemas.openxmlformats.org/officeDocument/2006/custom-properties" xmlns:vt="http://schemas.openxmlformats.org/officeDocument/2006/docPropsVTypes"/>
</file>