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pasākumā "Datu vākšana un apstrāde zivsaimniecības pārvaldības un zinātniskiem mērķiem""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šā gada 23. jūnijā iesniedza Eiropas Komisijā Rīcības programmu zivsaimniecības attīstībai 2021.–2027. gadam. Lai neaizkavētu atbalsta saņemšanu, noteikumu projektā paredzētais atbalsts tiks sniegts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kurā noteikts, ka izdevumi ir attiecināmi no Eiropas Jūrlietu, zvejniecības un akvakultūras fonda, ja tie atbalsta saņēmējam radušies un segti darbību īstenošanas gaitā laikposmā no dienas, kad programma iesniegta Komisijai, vai no 2021. gada 1. janvāra – atkarībā no tā, kurš no minētajiem datumiem ir agrāk.</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22-TA-2228</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mk_sēdes_protokollēmuma_projekts_22-TA-2228.docx</dc:title>
</cp:coreProperties>
</file>

<file path=docProps/custom.xml><?xml version="1.0" encoding="utf-8"?>
<Properties xmlns="http://schemas.openxmlformats.org/officeDocument/2006/custom-properties" xmlns:vt="http://schemas.openxmlformats.org/officeDocument/2006/docPropsVTypes"/>
</file>