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septembrī (prot. Nr. 39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proporciju, kādā īpašuma kompensācijas sertifikātu vietā par maksāšanas līdzekli var izmantot privatizācijas sertifikātus laikposmā no 2024. gada 1. oktobra līdz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34. panta trešo daļu noteikt, ka laikposmā no 2024. gada 1. oktobra līdz 31. decembrim (ieskaitot) viena īpašuma kompensācijas sertifikāta vietā par maksāšanas līdzekli var izmantot 1,08 privatizācijas sertifikātus.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24-TA-2179</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24-TA-2179</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rīkojuma_projekts_24-TA-2179.docx</dc:title>
</cp:coreProperties>
</file>

<file path=docProps/custom.xml><?xml version="1.0" encoding="utf-8"?>
<Properties xmlns="http://schemas.openxmlformats.org/officeDocument/2006/custom-properties" xmlns:vt="http://schemas.openxmlformats.org/officeDocument/2006/docPropsVTypes"/>
</file>