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2021. gada 30. novembra noteikumos Nr. 776 "Valsts un Eiropas Savienības atbalsta piešķiršanas kārtība atklātu projektu konkursa veidā pasākumā "Ieguldījumi materiālajos aktīvos" 2014.–2020. gada plānošanas perioda pārejas laikā 2021. un 2022. gadā"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w:t>
      </w:r>
      <w:r>
        <w:br/>
      </w:r>
      <w:r w:rsidR="00000000" w:rsidRPr="00000000" w:rsidDel="00000000">
        <w:rPr>
          <w:rStyle w:val="paragraph"/>
          <w:i w:val="1"/>
          <w:rtl w:val="0"/>
        </w:rPr>
        <w:t xml:space="preserve">un lauku attīstības likuma</w:t>
      </w:r>
      <w:r>
        <w:br/>
      </w:r>
      <w:r w:rsidR="00000000" w:rsidRPr="00000000" w:rsidDel="00000000">
        <w:rPr>
          <w:rStyle w:val="paragraph"/>
          <w:i w:val="1"/>
          <w:rtl w:val="0"/>
        </w:rPr>
        <w:t xml:space="preserve">5. panta ceturto un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2021. gada 30. novembra noteikumos Nr. 776 "Valsts un Eiropas Savienības atbalsta piešķiršanas kārtība atklātu projektu konkursa veidā pasākumā "Ieguldījumi materiālajos aktīvos" 2014.–2020. gada plānošanas perioda pārejas laikā 2021. un 2022. gadā" (Latvijas Vēstnesis, 2021, 237. nr.; 2022, 29.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lauku saimniecība ir juridiska vai fiziska persona, kas ražojusi primāros lauksaimniecības produktus un guvusi ieņēmumus no lauksaimniecības produktu pārdošanas pēdējā noslēgtajā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2.10.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"2.10. kopprojekts ir projekts, ko īsteno ar mērķi veidot savstarpēju sadarbību kopēja projekta īstenošanai, lai sekmētu pilna ražošanas cikla vai pievienotās vērtības radīšanu, sadarbojoties pārstrādes un primārajam ražotājam vai vairākiem atbalsta pretendentiem - primārajiem ražotājiem, kā arī sadarbībai kopīgas tehnikas iegādei, pirmapstrādei, produkcijas iepakošanai un virzībai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33.1.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"33.1. 10 procentu apmērā no attiecināmo izmaksu summas – maza saimniecība, kuras kopējais apgrozījums pēdējā noslēgtajā gadā ir 4000–70 000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33.2.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"33.2. 30 procentu apmērā no attiecināmo izmaksu summas – vidēja saimniecība, kuras kopējais apgrozījums pēdējā noslēgtajā gadā ir 70 001–350 000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33.3.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"33.3. 50 procentu apmērā no attiecināmo izmaksu summas – liela saimniecība, kuras kopējais apgrozījums pēdējā noslēgtajā gadā ir vairāk nekā 350 000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34.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Lauku saimniecībām šo noteikumu 6.1. apakšpunktu minētajā finansējuma ietvaros piešķir atbalstu ieguldījumiem, atbilstoši saimniecību grupu sadalījumam pēc to kopējā apgrozījuma."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39.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 Projekta īstenošanā izmantotās pamatizejvielas ir lauksaimniecības produkti. Projekta īstenošanā iegūtais gala produkts ir: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 produkts, kas minēts Līguma par Eiropas Savienības darbību I pielikumā;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39.2. produkts, kas nav minēts Līguma par Eiropas Savienības darbību I pielikumā, bet atbilst šādiem Eiropas Savienības kombinētās nomenklatūras kodam: 04031051–04031099, 04039071–04039099, 04052010–04052030, 1518, 1704, 1805, 1806, 1901–1905, 20041091, 20052010, 2103, 2104, 2105, 2106, 2202 (tikai dabīgi raudzēts kvass ar alkohola saturu līdz 0,5 tilp. %), 2203, 3501, 3502."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39.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Atbalstu projektā, kurā paredzamais gala produkts ir minēts Līguma par Eiropas Savienības darbību I pielikumā, var apvienot ar citu atbalstu, nepārsniedzot Padomes Regulas Nr. 1305/2013 pielikumā noteikto atbalsta intensitāti."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39.</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 Ja projektā paredzamais gala produkts nav minēts Līguma par Eiropas Savienības darbību I pielikumā: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1. atbalstu sniedz saskaņā ar Komisijas 2014. gada 17. jūnija Regulas (ES) Nr. 651/2014, ar ko noteiktas atbalsta kategorijas atzīst par saderīgām ar iekšējo tirgu, piemērojot Līguma 107. un 108. pantu, 14. pantu, ievērojot regulas 5. panta 2. punkta "a" apakšpunkta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2. materiālie aktīvi un nemateriālie aktīvi atbilst Komisijas regulas Nr. 651/2014 2. panta 29. un 30. punkta un 2. panta 49. punkta "a" apakšpunkta definīcijai, ja, īstenojot projektu, iegūst šo noteikumu 39.</w:t>
      </w:r>
      <w:r w:rsidR="00000000" w:rsidRPr="00000000" w:rsidDel="00000000">
        <w:rPr>
          <w:vertAlign w:val="superscript"/>
          <w:rtl w:val="0"/>
        </w:rPr>
        <w:t xml:space="preserve">2</w:t>
      </w:r>
      <w:r w:rsidR="00000000" w:rsidRPr="00000000" w:rsidDel="00000000">
        <w:rPr>
          <w:rtl w:val="0"/>
        </w:rPr>
        <w:t xml:space="preserve"> punktā minēto galaproduktu;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3. nemateriālie aktīvi atbilst Komisijas regulas Nr.  651/2014 14. panta 8. punktā minētajiem nosacījumiem. Lielajiem komersantiem nemateriālos aktīvus var finansēt līdz 50 procentiem no sākotnējo ieguldījumu kopējām attiecināmajām ieguldījumu izmaksām;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4. pārcelšana atbilst Komisijas regulas Nr. 651/2014 2. panta 61. "a" apakšpunktā noteiktajam;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5. ar sīkajiem (mikro), mazajiem un vidējiem komersantiem uzskata komersantus, kas atbilst Komisijas regulas Nr. 651/2014 1. pielikumā noteiktajai definīcijai;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6. par lielajiem komersantiem uzskata komersantus, kas atbilst Komisijas regulas Nr. 651/2014 2. panta 24. punktā noteiktajai definīcijai;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7. par saistītajām personām uzskata personas, kas atbilst Komisijas regulas Nr. 651/2014 1. pielikumā noteiktajai saistīto komersantu definīcijai un normatīvajiem aktiem par Eiropas Lauksaimniecības garantiju fonda, Eiropas Lauksaimniecības fonda lauku attīstībai, Eiropas Jūrlietu un zivsaimniecības fonda, kā arī par valsts un Eiropas Savienības atbalsta lauksaimniecībai un lauku un zivsaimniecības attīstībai finansējuma administrēšanu 2014.–2020. gada plānošanas periodā, kā arī pārejas laikā 2021. un 2022.gadā;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8. piemēro Komisijas regulas Nr. 651/2014 14. panta 13. punkta prasības, ja atbalsta projekts uzskatāms par vienotu investīciju projektu atbilstoši Komisijas regulas Nr. 651/2014 14. panta 13. punktam;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9. šo noteikumu ietvaros piešķirto finansējumu var apvienot ar citu valsts atbalstu par tām pašām attiecināmajām izmaksām, ja šādas apvienošanas rezultātā netiek pārsniegta lielākā finansējuma intensitāte vai maksimālais publiskā finansējuma apjoms saskaņā ar šiem noteikumiem vai Komisijas Regulu Nr. 651/2014, vai Eiropas Komisijas lēmumu;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10. atbalstu, kurš piešķirts šo noteikumu ietvaros, var apvienot ar citu valsts atbalstu, kura attiecināmās izmaksas nav nosakāmas, nepārsniedzot attiecīgo augstāko kopējā finansējuma robežvērtību, kas noteikta Komisijas regulā Nr. 651/2014, citā Komisijas pieņemtā grupu atbrīvojuma regulā, </w:t>
      </w:r>
      <w:r w:rsidR="00000000" w:rsidRPr="00000000" w:rsidDel="00000000">
        <w:rPr>
          <w:i w:val="1"/>
          <w:rtl w:val="0"/>
        </w:rPr>
        <w:t xml:space="preserve">de minimis</w:t>
      </w:r>
      <w:r w:rsidR="00000000" w:rsidRPr="00000000" w:rsidDel="00000000">
        <w:rPr>
          <w:rtl w:val="0"/>
        </w:rPr>
        <w:t xml:space="preserve"> regulā vai EK lēmumā;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11. projekta iesniedzējs, kas darbojas gan Komisijas regulas Nr. 651/2014 1. panta 3. punkta "a", "b" vai "c" apakšpunktā vai 13. panta "a" vai "b" apakšpunktā minētajās nozarēs, gan citās nozarēs, uz kurām attiecas Komisijas regulas Nr. 651/2014 darbības jomas, nodala atbalstāmās darbības vai finanšu plūsmas no citu darbības nozaru finanšu plūsmas, tādējādi nodrošinot, ka darbības izslēgtajās nozarēs negūst labumu no atbalsta, kas piešķirts saskaņā ar Komisijas regulu Nr. 651/2014;</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12. atbalstu nepiešķir Komisijas regulas Nr. 651/2014 1. panta 4. punkta "a" apakšpunktā un 14. panta 16. punktā minētajos gadījumos;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13. atbalstu nepiešķir, ja Lauku atbalsta dienests projekta iesnieguma apstiprināšanas brīdī konstatējis kādu no grūtībās nonākuša uzņēmuma pazīmēm atbilstoši Komisijas regulas Nr. 651/2014 2. panta 18. punktam un normatīvajiem aktiem par Eiropas Lauksaimniecības garantiju fonda, Eiropas Lauksaimniecības fonda lauku attīstībai un Eiropas Jūrlietu un zivsaimniecības fonda, kā arī valsts un Eiropas Savienības atbalsta lauksaimniecībai un lauku un zivsaimniecības attīstībai finansējuma administrēšanu 2014.–2020. gada plānošanas periodā, kā arī pārejas laikā 2021. un 2022.gadā vai atbalsta pretendentam, kuram ierosināta tiesiskās aizsardzības procesa lieta, tiek īstenots tiesiskās aizsardzības process vai pasludināts maksātnespējas process, vai tas atbilst normatīvajos aktos noteiktiem kritērijiem, lai tam pēc kreditora pieprasījuma piemērotu maksātnespējas procedūru. Nosacījumu, lai saimnieciskās darbības veicējam pēc kreditora pieprasījuma piemērotu maksātnespējas procedūru, pārbauda, balstoties uz atbalsta pretendenta iesniegtu apliecinājumu;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14. lai izpildītu Komisijas regulas Nr.  651/2014 6. panta 2. punktā minēto stimulējošās ietekmes nosacījumu, projektu uzsāk īstenot pēc projekta iesnieguma iesniegšanas Lauku atbalsta dienestā. Projekta iesniegums atbilst Komisijas regulas Nr. 651/2014 6.panta 2.punktā ietvertajām prasībām par pieteikumā iekļaujamo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15. saskaņā ar Komisijas regulas Nr. 651/2014 2. panta 23. punktu par projekta īstenošanas uzsākšanu uzskatāms ar ieguldījumu saistītu būvdarbu sākums vai pirmā juridiski saistošā apņemšanās pasūtīt aprīkojumu, vai citas saistības, kas padara ieguldījumu neatgriezenisku, – atkarībā no tā, kas notiek pirmais. Tādi sagatavošanās darbi kā atļauju saņemšana vai priekšizpētes veikšana netiek uzskatīta par darbu sākumu. Ja projekta īstenošana ir uzsākta pirms projekta iesnieguma iesniegšanas, projekta iesniegums ir noraidāms. Atbalstu apvienot ar citu atbalstu sākotnējo ieguldījumu veikšanai, projekta īstenošanu drīkst uzsākt tikai pēc tam, kad visas iesaistītās institūcijas pieņēmušas lēmumu par atbalsta sniegšanu ieguldījumu projektam;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16. piešķirot atbalstu būtisku pārmaiņu ieviešanai ražošanas procesā, ievēro Komisijas regulas Nr. 651/2014 14. panta 7. punkta prasības;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17. Lauku atbalsta dienests saskaņā ar Komisijas regulas Nr. 651/2014 9. panta 1. un 4. punktu un 12. panta 1. punktu nodrošina informācijas publicēšanu un pieejamību;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18. maksimālā atbalsta intensitāte tiek noteikta atbilstoši šo noteikumu 52. punktam un nepārsniedz maksimāli pieļaujamo reģionālā finansējuma intensitāti: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18.1. sīkajiem (mikro) vai mazajiem komersantiem Kurzemes, Zemgales, Vidzemes un Latgales reģionā -  60 procentus, Pierīgas reģionā 50 procentus;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18.2. Kurzemes, Zemgales, Vidzemes un Latgales reģionā – 40 procentus lielajiem komersantiem vai 50 procentus - vidējiem komersantiem;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18.3. Pierīgas reģionā – 30 procentus lielajiem komersantiem vai 40 procentus vidējiem komersantiem;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19. preču iegādei izmantojot finanšu līzinga līdzekļus, ievēro Komisijas regulas Nr. 651/2014 14. panta 6. punkta "b" apakšpunkta nosacījumus, un noslēgtajā finanšu līzinga līgumā atbalsta saņēmējs paredz pēc minētā līguma termiņa beigām izpirkt projekta ietvaros iegādātos aktīvus."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39.</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3</w:t>
      </w:r>
      <w:r w:rsidR="00000000" w:rsidRPr="00000000" w:rsidDel="00000000">
        <w:rPr>
          <w:rtl w:val="0"/>
        </w:rPr>
        <w:t xml:space="preserve"> Iegūstot šo noteikumu 39.2. apakšpunktā minēto gala produktu, saskaņā ar Komisijas regulas Nr. 651/2014 14. panta 14.punktā noteikto, atbalsta saņēmējs nodrošina, ka finansiālais ieguldījums ir vismaz 25 procenti no attiecināmajām izmaksām, izmantojot pašu līdzekļus vai ārējo finansējumu, par kuru nav saņemts publiskais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39.</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4</w:t>
      </w:r>
      <w:r w:rsidR="00000000" w:rsidRPr="00000000" w:rsidDel="00000000">
        <w:rPr>
          <w:rtl w:val="0"/>
        </w:rPr>
        <w:t xml:space="preserve"> Ja tiek pārkāptas šajos noteikumos noteiktās komercdarbības atbalsta kontroles normas, tostarp nosacījumi, kas izriet no Komisijas regulas Nr.651/2014, atbalsta saņēmējam ir pienākums atmaksāt Lauku atbalsta dienestam visu saņemto nelikumīgo valsts atbalstu kopā ar procentiem no līdzekļiem, kas ir brīvi no valsts atbalsta, atbilstoši Komercdarbības atbalsta kontroles likuma IV vai V nodaļas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39.</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 Lauku atbalsta dienesta pieņemtais lēmums atbilstoši šo noteikumu 3. punktam par iesnieguma apstiprināšanu uzskatāms par valsts atbalsta piešķiršanas dienu."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39.</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6</w:t>
      </w:r>
      <w:r w:rsidR="00000000" w:rsidRPr="00000000" w:rsidDel="00000000">
        <w:rPr>
          <w:rtl w:val="0"/>
        </w:rPr>
        <w:t xml:space="preserve"> Lēmumu par atbalsta piešķiršanu saskaņā ar Komisijas regulu Nr. 651/2014 var pieņemt līdz 58. panta 4. punktā un 59. pantā noteiktā piemērošanas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39.</w:t>
      </w:r>
      <w:r w:rsidR="00000000" w:rsidRPr="00000000" w:rsidDel="00000000">
        <w:rPr>
          <w:vertAlign w:val="superscript"/>
          <w:rtl w:val="0"/>
        </w:rPr>
        <w:t xml:space="preserve">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7</w:t>
      </w:r>
      <w:r w:rsidR="00000000" w:rsidRPr="00000000" w:rsidDel="00000000">
        <w:rPr>
          <w:rtl w:val="0"/>
        </w:rPr>
        <w:t xml:space="preserve"> Ja atbalsta saņēmējs izmanto šo noteikumu 39.</w:t>
      </w:r>
      <w:r w:rsidR="00000000" w:rsidRPr="00000000" w:rsidDel="00000000">
        <w:rPr>
          <w:vertAlign w:val="superscript"/>
          <w:rtl w:val="0"/>
        </w:rPr>
        <w:t xml:space="preserve">2</w:t>
      </w:r>
      <w:r w:rsidR="00000000" w:rsidRPr="00000000" w:rsidDel="00000000">
        <w:rPr>
          <w:rtl w:val="0"/>
        </w:rPr>
        <w:t xml:space="preserve">10. apakšpunktā paredzēto kumulāciju, tad pretendējot uz atbalstu šo noteikumu ietvaros, norāda visu informāciju par  plānoto un piešķirto atbalstu tā paša projekta ietvaros, tai skaitā par tām pašām attiecināmajām izmaksām, norādot atbalsta piešķiršanas datumu, atbalsta sniedzēju, atbalsta pasākumu un plānoto vai piešķirto atbalsta summu, kā arī atbalsta intensitāti."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40.3.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"40.3. 50 procentu maizes, miltu konditorejas, sausiņu, cepumu vai augu eļļu un proteīnus saturošas dzīvnieku barības ražošanas sektorā;".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52.2.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"52.2. īstenojot šo noteikumu 1.1. apakšpunktā minētā apakšpasākuma projektu, kas paredz siltumnīcu būvniecību vai pārbūvi, maksimālais attiecināmo izmaksu apmērs  ir 3 000 000 </w:t>
      </w:r>
      <w:r w:rsidR="00000000" w:rsidRPr="00000000" w:rsidDel="00000000">
        <w:rPr>
          <w:i w:val="1"/>
          <w:rtl w:val="0"/>
        </w:rPr>
        <w:t xml:space="preserve">euro</w:t>
      </w:r>
      <w:r w:rsidR="00000000" w:rsidRPr="00000000" w:rsidDel="00000000">
        <w:rPr>
          <w:rtl w:val="0"/>
        </w:rPr>
        <w:t xml:space="preserve">. Minētā attiecināmo izmaksu apmērā iekļauj šo noteikumu 52.1. apakšpunktā minētās attiecināmās izmaksas, nepārsniedzot šo noteikumu 52.1. apakšpunktā noteikto maksimālo apjomu, ja atbalsta pretendents īsteno arī tādus šo noteikumu 1.1. apakšpunktā  minētā apakšpasākuma projektus, kuru izmaksas nav saistītas siltumnīcu būvniecību vai pārbūvi;".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65.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Ja projekta īstenošanas laikā saskaņā ar Centrālās statistikas pārvaldes datiem būvniecības izmaksu pieaugums pārsniedz piecus procentus, salīdzinot ar ceturksni, kurā iesniegts projekta iesniegums, par attiecīgi pārsniegto procentu punktu apmēru pieļaujams palielināt šo noteikumu 5. pielikumā noteiktās maksimālās attiecināmās izmaksas, bet nepārsniedzot projektam apstiprināto kopējo attiecināmo izmaksu summu un nemainot projekta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66.1.5.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"66.1.5. sējumu, stādījumu kopšanas tehnika un iekārtas, arī mēslošanas un augu aizsardzības tehnika un iekārtas. Ja tiek iegādāts jauns miglotājs, smidzinātājs, minerālmēslu izkliedētājs vai kūtsmēslu iestrādes aprīkojums, tas atbilst šo noteikumu 2. pielikumā minētajiem klimata pārmaiņu mazināšanas un pielāgošanās ieguldījumiem un ir attiecīgi aprīkots, vai, ja iegādi veic mazā saimniecība vai dārzkopības saimniecība vidējā saimniecību grupā - manuāli regulējams;".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94.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 Šo noteikumu 65.</w:t>
      </w:r>
      <w:r w:rsidR="00000000" w:rsidRPr="00000000" w:rsidDel="00000000">
        <w:rPr>
          <w:vertAlign w:val="superscript"/>
          <w:rtl w:val="0"/>
        </w:rPr>
        <w:t xml:space="preserve">1</w:t>
      </w:r>
      <w:r w:rsidR="00000000" w:rsidRPr="00000000" w:rsidDel="00000000">
        <w:rPr>
          <w:rtl w:val="0"/>
        </w:rPr>
        <w:t xml:space="preserve"> punktu  piemēro projektiem, kas Lauku atbalsta dienestā iesniegti pasākumā "Ieguldījumi materiālajos aktīvos" 2014.– 2020. gada plānošanas perioda pārejas laikā 2021. un 2022.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11.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12.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15.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22-TA-1709</w:t>
    </w:r>
    <w:r>
      <w:br/>
    </w:r>
    <w:r w:rsidR="00000000" w:rsidRPr="00000000" w:rsidDel="00000000">
      <w:rPr>
        <w:rtl w:val="0"/>
      </w:rPr>
      <w:t xml:space="preserve">Izdrukāts 29.07.2026. 23.20 - 1.0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22-TA-1709</w:t>
    </w:r>
    <w:r>
      <w:br/>
    </w:r>
    <w:r w:rsidR="00000000" w:rsidRPr="00000000" w:rsidDel="00000000">
      <w:rPr>
        <w:rtl w:val="0"/>
      </w:rPr>
      <w:t xml:space="preserve">Izdrukāts 29.07.2026. 23.20 - 1.0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noteikumu_(grozījumu)_projekts_22-TA-1709.docx</dc:title>
</cp:coreProperties>
</file>

<file path=docProps/custom.xml><?xml version="1.0" encoding="utf-8"?>
<Properties xmlns="http://schemas.openxmlformats.org/officeDocument/2006/custom-properties" xmlns:vt="http://schemas.openxmlformats.org/officeDocument/2006/docPropsVTypes"/>
</file>