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Trauksmes celšanas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Trauksmes celšanas likumā (Latvijas Vēstnesis, 2022, 24.B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darba pienākumu veikšana</w:t>
      </w:r>
      <w:r w:rsidR="00000000" w:rsidRPr="00000000" w:rsidDel="00000000">
        <w:rPr>
          <w:rtl w:val="0"/>
        </w:rPr>
        <w:t xml:space="preserve"> – noteikta darba veikšana, tai skaitā tāda, ko veic:</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 darbinieks, tostarp Līguma par Eiropas Savienības darbību 45. panta 1. punkta izpratnē,</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b) pašnodarbinātais, tostarp Līguma par Eiropas Savienības darbību 49. panta izpratnē,</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c) brīvprātīgā darba ietvaros,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 profesionālo vai amata (dienesta) pienākumu ietvaros,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 pakalpojumu sniegšanas procesa ietvaros,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 kā akcionārs, dalībnieks, biedrs, valdes vai padomes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informācija par pārkāpumu</w:t>
      </w:r>
      <w:r w:rsidR="00000000" w:rsidRPr="00000000" w:rsidDel="00000000">
        <w:rPr>
          <w:rtl w:val="0"/>
        </w:rPr>
        <w:t xml:space="preserve"> – informācija, tostarp saprātīgas aizdomas, par faktiskiem vai iespējamiem pārkāpumiem, kas notikuši, notiek vai var notikt, un par mēģinājumiem slēpt šādus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nelabvēlīgu seku radīšana</w:t>
      </w:r>
      <w:r w:rsidR="00000000" w:rsidRPr="00000000" w:rsidDel="00000000">
        <w:rPr>
          <w:rtl w:val="0"/>
        </w:rPr>
        <w:t xml:space="preserve"> – tieša vai netieša darbība vai bezdarbība, kas izraisa vai var izraisīt nelabvēlīgas sekas, tostarp draudi vai mēģinājums tās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saistītā persona</w:t>
      </w:r>
      <w:r w:rsidR="00000000" w:rsidRPr="00000000" w:rsidDel="00000000">
        <w:rPr>
          <w:rtl w:val="0"/>
        </w:rPr>
        <w:t xml:space="preserve"> – fiziskā persona, kura atbalsta vai palīdz trauksmes cēlējam trauksmes celšanā un kuras palīdzībai vajadzētu būt konfidenciālai vai kura ir saistīta ar trauksmes cēlēju un varētu ciest no nelabvēlīgām sekām, kā arī juridiska persona, kura atbalsta vai palīdz trauksmes cēlējam trauksmes celšanā un varētu ciest no nelabvēlīgām sekām. Saistītā persona var būt arī komersants vai privāto tiesību juridiskā persona, kura pieder trauksmes cēlējam, kurā tas ir nodarbināts vai ar kuru tas citādi saistīts, veicot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 punktā vārdu "iespējamu".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2.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Kriminālprocesā, kā arī attiecībā uz tiesnešu apspriedēm, zvērināta advokāta un klienta, ārsta un pacienta saziņas konfidencialitātes aizsardzību, konsultēšanos ar darbinieku pārstāvjiem vai arodbiedrībām un darba koplīgumu slēgšanu šo likumu piemēro tiktāl, ciktāl citos normatīvajos aktos nav noteikts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14. punktā vārdus "tostarp krāpšana un cita nelikumīga rīcība, kas apdraud Eiropas Savienības finanšu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19. punktu ar vārdiem un skaitļiem "kā minēts Līguma par Eiropas Savienības darbību 26. panta 2. punktā, tostarp Eiropas Savienības konkurences un valsts atbalsta noteikumu pārkāpumi, kā arī pārkāpumi saistībā ar iekšējo tirgu attiecībā uz darbībām, kas ir pretrunā noteikumiem par uzņēmumu ienākuma nodokli, vai mehānismiem, kuru nolūks ir iegūt nodokļu priekšrocības, vēršoties pret piemērojamā uzņēmumu ienākuma nodokļa tiesību akta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23. punktu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 krāpšana, tostarp krāpšana un cita nelikumīga rīcība, kas apdraud Eiropas Savienības finanšu intereses, kā minēts Līguma par Eiropas Savienības darbību 325. pantā un kā papildus precizēts Eiropas Savienības attiecīgajos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4., 5., 6. un 7.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3. punktu ar vārdiem "tostarp, ja pastāv ārkārtas situācija vai nenovēršama kaitējuma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4. punktu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personai ir pamats uzskatīt, ka, izmantojot šā panta pirmās daļas 2. punktā minēto trauksmes celšanas mehānismu, tiks radītas nelabvēlīgas sekas vai pārkāpums netiks novērsts, jo pati institūcija ir iesaistīta pārkāpuma veikšanā vai, piemēram, tiks slēpti vai iznīcināti pierādījumi, slēgtas aizliegtas vienošanās."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un skaitli "ir vairāk nekā 50" ar vārdiem un skaitli "ir 50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Privāto tiesību juridiskās personas, kurās ir no 50 līdz 249 nodarbinātajiem, var veidot kopīgu iekšējo trauksmes celšanas sistēmu. Minētais nosacījums attiecas arī uz pašvaldību institūcijām, kurās ir mazāk nekā 50 nodarbināto, ja kopīgā iekšējā trauksmes celšanas sistēma ir nodalīta un neatkarīga no pašvaldības institūcijas kā kompetentās institūcijas trauksmes celšanas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Par iekšējo trauksmes celšanas sistēmu personu informē, tai uzsākot praksi, darba tiesiskās vai dienesta attiecības vai cita veida ar profesionālo darbību saistītas tiesiskās attiecības, un darbavietā nodrošina viegli pieejamu informāciju par šo sistēmu, kā arī par ziņošanas kārtību kompetentai institūcijai vai, ja attiecināms, Eiropas Savienības iestādei, struktūrai, birojam vai aģentūrai. Publiskas personas institūcija un privāto tiesību juridiskā persona veicina, lai persona sākotnēji ziņo, izmantojot iekšējo trauksmes celšanas sistēmu, ja uz pārkāpumu var efektīvi reaģēt iekšēji un ja persona uzskata, ka netiks radītas nelabvēlīgas sekas."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Trauksmes cēlējs ziņojumu iesniedz, norādot tajā ziņas par sevi (vārds, uzvārds, adrese un, ja nepieciešams, citas ziņas, kas palīdz sazināties ar personu) un to, ka tas ir trauksmes cēlēja ziņojums, vai izmantojot trauksmes cēlēja ziņojuma veidlapu. Trauksmes cēlēja ziņojumu var iesniegt rakstveidā, elektroniski vai izteikt mutvārdos. Trauksmes cēlēja ziņojumu elektroniski var iesniegt arī bez droša elektroniskā paraksta valsts pārvaldes pakalpojumu portālā www.latvija.gov.lv vai tīmekļvietnē www.trauksmescelejs.lv, ja ziņojumu iesniedz un personas identitāti pārbauda, izmantojot tiešsaistes formas, kuras pieejamas portālā un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Mutvārdos trauksmes cēlēja ziņojumu var izteikt, sazinoties pa tālruni vai, ja tas ir iespējams, izmantojot citus ziņapmaiņas veidus, kā arī tiekoties klātienē saprātīgā termiņā pēc trauksmes cēlēja lūguma. Publiskas personas institūcija un privāto tiesību juridiskā persona nodrošina, ka atkarībā no trauksmes cēlēja mutiskā ziņojuma izteikšanas veida tiek ievēroti šādi nosacījumi: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ja saziņa notiek pa tālruni vai izmantojot citu ziņapmaiņas veidu, kam ir ieraksta funkcija, tad ar trauksmes cēlēja piekrišanu veic ierakstu pastāvīgā un izgūstamā formā vai atbildīgā persona veic pilnīgu un precīzu sarunas pierakstu. Trauksmes cēlējam nosūta parakstīšanai sarunas pierakstu, tostarp piedāvā iespēju pārbaudīt to un, ja nepieciešams, precizēt;</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ja saziņa notiek pa tālruni vai izmantojot citu ziņapmaiņas veidu, kam nav ieraksta funkcijas, tad atbildīgā persona sniegto informāciju noformē rakstveidā, izmantojot trauksmes cēlēja ziņojuma veidlapu. Trauksmes cēlējam nosūta parakstīšanai trauksmes cēlēja ziņojumu, tostarp piedāvā iespēju pārbaudīt to un, ja nepieciešams, precizēt;</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ja saziņa notiek klātienē, tad ar trauksmes cēlēja piekrišanu pilnīgi un precīzi fiksē klātienes tikšanos, veicot sarunas ierakstu pastāvīgā un izgūstamā formā vai atbildīgajai personai noformējot sniegto informāciju rakstveidā, izmantojot trauksmes cēlēja ziņojuma veidlapu. Trauksmes cēlējam iedod parakstīšanai aizpildīto trauksmes cēlēja ziņojuma veidlapu, tostarp piedāvā iespēju pārbaudīt to un, ja nepieciešams, precizēt."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Ja saņemtais iesniegums nav institūcijas kompetencē, tā septiņu dienu laikā no iesnieguma saņemšanas dienas pārsūta iesniegumu izskatīšanai pēc piekritības, izmantojot šā likuma 4. panta ceturtajā daļā minēto kompetentās institūcijas izveidoto mehānismu, un informē par to trauksmes cēlēju. Ja iesniegumu pārsūtīt nav lietderīgi, informē personu, ka iesniegums nav institūcijas kompetencē, ja iespējams, norādot institūciju, kurā persona var vērsties ar iesniegumu. Ja saņemtais iesniegums ir vairāku institūciju kompetencē, to var izskatīt kopīgi. Trauksmes cēlēju kontaktpunkts var koordinēt kopīgi izskatāmā iesnieguma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desmito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Kompetentā institūcija regulāri, bet ne retāk kā reizi trijos gados pārskata trauksmes cēlēju ziņojumu iesniegšanas un izskatīšanas kārtību savā institūcijā, tostarp ņemot vērā citu kompetento iestāžu vai trauksmes cēlēju kontaktpunkta pieredzi, un, ja nepieciešams, precizē 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"Valsts kanceleja" ar vārdiem "Korupcijas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punktu ar vārdiem "un tās personas tiesībām, par kuru ziņojis trauksmes cēlējs";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punktu pēc vārda "aizsardzību" ar vārdiem "kā arī informēt trauksmes cēlēju kontaktpunktu par iesnieguma izskatīšanas gaitu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 punktā vārdus "Juridiskās palīdzības" ar vārdu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8., 9. un 10. punktu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nodrošināt kontaktpersonām un atbildīgajām personām mācības trauksmes celšanas jomā;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izskatīt trauksmes cēlēju ziņojumus, attiecībā uz kuriem nav nosakāma kompetentā institūcija;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 pārbaudīt un uzraudzīt, vai tiek ievērots šā likuma regulējums, kā arī sniegt ieteikumus trauksmes celšanas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10. pantu ar ceturto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Šā panta pirmā daļa attiecas arī uz personu, kura ziņojusi par pārkāpumu Eiropas Savienības iestādei, struktūrai, birojam vai aģentūrai, ja sniegtā informācija atbilst šajā likumā noteiktajām trauksmes celšanas pazīmēm."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otro teikumu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šādas informācijas nelikumīgu izpaušanu personu var saukt pie kriminālatbildības </w:t>
      </w:r>
      <w:r w:rsidR="00000000" w:rsidRPr="00000000" w:rsidDel="00000000">
        <w:rPr>
          <w:rtl w:val="0"/>
        </w:rPr>
        <w:t xml:space="preserve">Krimināllikumā</w:t>
      </w:r>
      <w:r w:rsidR="00000000" w:rsidRPr="00000000" w:rsidDel="00000000">
        <w:rPr>
          <w:rtl w:val="0"/>
        </w:rPr>
        <w:t xml:space="preserv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otro teikumu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"Trauksmes cēlēju pirms identitātes izpaušanas informē rakstveidā, norādot pamatojumu, izņemot gadījumu, kad informēšana kaitētu trauksmes cēlēja ziņojuma vai uz tā pamata ierosinātas pārkāpuma lietas izskatīšanai."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 punktā vārdu "profesionālo";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12., 13., 14. un 15. punktu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iespaidot, iebiedēt, aizskart vai izstumt;</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radīt zaudējumus;</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 iekļaut sarakstā, pamatojoties uz formālu vai neformālu nozares vai sektora līmeņa informāciju, tādējādi apgrūtinot vai liedzot turpmāko darbību nozarē vai sektorā;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 iesniegt nepatiesu pieteikumu tiesā.";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Par šā panta pirmās daļas 15. punktā minētā pieteikuma iesniegšanu personai var uzlikt naudas sodu </w:t>
      </w:r>
      <w:r w:rsidR="00000000" w:rsidRPr="00000000" w:rsidDel="00000000">
        <w:rPr>
          <w:rtl w:val="0"/>
        </w:rPr>
        <w:t xml:space="preserve">Civilprocesa likumā</w:t>
      </w:r>
      <w:r w:rsidR="00000000" w:rsidRPr="00000000" w:rsidDel="00000000">
        <w:rPr>
          <w:rtl w:val="0"/>
        </w:rPr>
        <w:t xml:space="preserve">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likumu ar 21. pantu šādā redakcijā:</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 pants. Nepatiesu ziņu sniegšanas dēļ radušos zaudējumu atlīdzināšana</w:t>
      </w:r>
    </w:p>
    <w:p w:rsidP="00000000" w:rsidRDefault="00000000" w:rsidR="00000000" w:rsidRPr="00000000" w:rsidDel="00000000">
      <w:pPr>
        <w:numPr>
          <w:ilvl w:val="0"/>
          <w:numId w:val="3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Personai atbilstoši normatīvajiem aktiem ir tiesības uz atbilstīgu atlīdzinājumu par zaudējumiem vai personisko kaitējumu, kā arī morālo kaitējumu, kas radies šā likuma 18. pantā minēto ziņu sniegšanas dēļ."</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Izteikt informatīvo atsauci uz Eiropas Savienības direktīvu šādā redakcijā: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Likumā iekļautas tiesību normas, kas izriet no:</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2019. gada 23. oktobra direktīvas (ES) 2019/1937 par to personu aizsardzību, kuras ziņo par Savienības tiesību aktu pārkāpumiem;</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Eiropas Parlamenta un Padomes 2024. gada 11. aprīļa direktīvas (ES) 2024/1203, kas paredz noteikumus par vides krimināltiesisko aizsardzību un aizstāj direktīvas 2008/99/EK un 2009/123/EK;</w:t>
      </w:r>
    </w:p>
    <w:p w:rsidP="00000000" w:rsidRDefault="00000000" w:rsidR="00000000" w:rsidRPr="00000000" w:rsidDel="00000000">
      <w:pPr>
        <w:numPr>
          <w:ilvl w:val="0"/>
          <w:numId w:val="3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Eiropas Parlamenta un Padomes 2024. gada 24. aprīļa direktīvas (ES) 2024/1226 par noziedzīgu nodarījumu un sodu noteikšanu attiecībā uz Savienības ierobežojošo pasākumu pārkāpumiem un ar ko groza direktīvu (ES) 2018/1673."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25-TA-925</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25-TA-925</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likumprojekts_(grozījumi)_25-TA-925.docx</dc:title>
</cp:coreProperties>
</file>

<file path=docProps/custom.xml><?xml version="1.0" encoding="utf-8"?>
<Properties xmlns="http://schemas.openxmlformats.org/officeDocument/2006/custom-properties" xmlns:vt="http://schemas.openxmlformats.org/officeDocument/2006/docPropsVTypes"/>
</file>