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emisijas kvotu tirdzniecības sistēmā iekļautās piesārņojošās darbības, kurām nepieciešama siltumnīcefekta gāzu emisijas atļauja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vides dienests, nosakot iekārtas kopējo nominālo ievadīto siltumspēju, lai konstatētu iekārtas iekļaušanas nepieciešamību Eiropas Savienības emisijas kvotu tirdzniecības sistēmā saskaņā ar šajā likumā noteiktajiem nosacījumiem, summē iekārtas visu tehnisko vienību nominālās ievadītās siltumspējas, kurās tiek sadedzināts kurināmais (piemēram, katli, degkameras, turbīnas, sildītāji, kurtuves, sadedzināšanas iekārtas, apdedzināšanas krāsnis, citu veidu krāsnis, cepļi, žāvētāji, dzinēji, kurināmā elementi, ķīmiskie sadedzināšanas un oglekļa dioksīda uztveršanas bloki, degļi un termiskās vai katalītiskās pēc sadedzināšanas iekārtas). Kopsummā neņem vērā: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tehniskās vienības, kuru nominālā ievadītā siltumspēja nepārsniedz trīs megavatus;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tehniskās vienības, kurās kā kurināmo izmanto atjaunojamos energoresursus, bet pārējos kurināmos — tikai vienību darbības uzsākšanai vai pārtraukšanai (līdz 2025.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tehniskās vienības, kurām iepriekšējā attiecīgajā 13. panta ceturtajā daļā minētā perioda piecu gadu ciklā, emisijas no biomasas sadedzināšanas ir vidēji vairāk nekā 95 % no kopējām vidējām siltumnīcefekta gāzu emisijām, kas noteikts atbilstoši šā likuma 16. pantam.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37"/>
        <w:gridCol w:w="3089"/>
        <w:gridCol w:w="2965"/>
        <w:tblGridChange w:id="0">
          <w:tblGrid>
            <w:gridCol w:w="3137"/>
            <w:gridCol w:w="3089"/>
            <w:gridCol w:w="296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Darbība, kurai nepieciešama siltumnīcefekta gāzu emisijas atļauja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Siltumnīcefekta gāze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Kurināmā sadedzināšana — kurināmā oksidēšana neatkarīgi no tā, kā tiek izmantota šajā procesā ražotā siltumenerģija, elektroenerģija vai mehāniskā enerģija, un citas tieši saistītas darbības, tai skaitā dūmgāzu attīrīšana, iekārtās, kuru kopējā nominālā ievadītā siltumspēja pārsniedz 20 megavatus (izņemot bīstamo atkritumu vai sadzīves atkritumu sadedzināšanas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likuma 16. panta nosacījumi no 2024. gada 1. janvāra attiecināmi uz kurināmā sadedzināšana sadzīves atkritumu sadedzināšanas iekārtās, kuru kopējā nominālā ievadītā siltumspēja pārsniedz 20 MW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Oglekļa dioksīds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Naftas rafinēšana, kurā tiek izmantotas sadedzināšanas vienības, kuru kopējā nominālā siltumspēja ir lielāka par 20 MW</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Oglekļa dioksīds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Koksa ražošana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Oglekļa dioksīds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Metāla rūdu, arī sulfīdu rūdu, apdedzināšana vai kausējumu iegūšana, ieskaitot granulēšanu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Oglekļa dioksīds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 vai tērauda ražošana (pirmējā vai otrējā kausēšana), tostarp izmantojot nepārtraukto liešanu, kopējai jaudai pārsniedzot 2,5 tonnas stundā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Oglekļa dioksīds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Melno metālu, arī ferosakausējumu, ražošana vai pārstrāde, kurā tiek izmantotas sadedzināšanas vienības, kuru kopējā nominālā siltuma jauda pārsniedz 20 megavatus. Pārstrādē tiek izmantoti arī velmēšanas stāvi, tvaika pārkarsētāji, atlaidināšanas krāsnis, kaltuvju, lietuvju, pārklājumu un kodināšanas iekārtas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Oglekļa dioksīds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Primārā alumīnija vai alumīnija oksīda ražošana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Oglekļa dioksīds,</w:t>
            </w:r>
            <w:r>
              <w:br/>
            </w:r>
            <w:r w:rsidR="00000000" w:rsidRPr="00000000" w:rsidDel="00000000">
              <w:rPr>
                <w:rtl w:val="0"/>
              </w:rPr>
              <w:t xml:space="preserve">perfluorogļūdeņraži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Sekundārā alumīnija ražošana, kurā tiek izmantotas sadedzināšanas vienības, kuru kopējā nominālā siltuma jauda pārsniedz 20 megavatus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Oglekļa dioksīds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Krāsaino metālu ražošana vai pārstrāde, arī sakausējumu ražošana, rafinēšana, liešana u.tml., kurā izmantojamo sadedzināšanas vienību kopējā nominālā siltuma jauda, ieskaitot ievadīto siltuma jaudu kurināmajam, ko izmanto kā reducējošu aģentu, pārsniedz 20 megavatus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Oglekļa dioksīds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Klinkera cementa ražošana rotācijas krāsnīs, kuru ražošanas jauda pārsniedz 500 tonnas produkcijas dienā, vai cita veida krāsnīs, kuru ražošanas jauda pārsniedz 50 tonnas dienā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Oglekļa dioksīds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Kaļķu ražošana, kā arī dolomīta vai magnezīta apdedzināšana rotācijas krāsnīs vai cita veida krāsnīs, kuru ražošanas jauda pārsniedz 50 tonnas dienā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Oglekļa dioksīds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Stikla, arī stikla šķiedras, ražošana iekārtās, kuru kausēšanas jauda pārsniedz 20 tonnas dienā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Oglekļa dioksīds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Apdedzinātu māla izstrādājumu, arī jumta kārniņu, ķieģeļu, ugunsizturīgo ķieģeļu, flīžu, krāsns podiņu vai porcelāna, ražošana, ražošanas jaudai pārsniedzot 75 tonnas dienā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Oglekļa dioksīds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Minerālvates izolācijas materiālu ražošana, izmantojot stiklu, akmeni vai izdedžus, ar kausēšanas jaudu virs 20 tonnām dienā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Oglekļa dioksīds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Ģipša žāvēšana vai apdedzināšana vai ģipškartona sausā apmetuma plātņu un citu ģipša izstrādājumu ražošana, ja apdedzinātā ģipša vai žāvētā sekundārā ģipša ražošanas jauda pārsniedz 20 tonnas dienā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Oglekļa dioksīds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Celulozes ražošana no koksnes vai citām šķiedrvielām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Oglekļa dioksīds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Papīra vai kartona ražošana, ražošanas jaudai pārsniedzot 20 tonnas dienā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Oglekļa dioksīds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 oglekļa ražošana, karbonizējot tādus organiskās vielas saturošus materiālus kā nafta, gudrons, krekinga un pārtvaices atlikumus, ja ražošanas jauda pārsniedz 50 tonnas dienā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Oglekļa dioksīds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Slāpekļskābes ražošana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Oglekļa dioksīds,</w:t>
            </w:r>
            <w:r>
              <w:br/>
            </w:r>
            <w:r w:rsidR="00000000" w:rsidRPr="00000000" w:rsidDel="00000000">
              <w:rPr>
                <w:rtl w:val="0"/>
              </w:rPr>
              <w:t xml:space="preserve">slāpekļa oksīds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Adipīnskābes ražošana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Oglekļa dioksīds,</w:t>
            </w:r>
            <w:r>
              <w:br/>
            </w:r>
            <w:r w:rsidR="00000000" w:rsidRPr="00000000" w:rsidDel="00000000">
              <w:rPr>
                <w:rtl w:val="0"/>
              </w:rPr>
              <w:t xml:space="preserve">slāpekļa oksīds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Glioksāla un glioksālskābes ražošana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Oglekļa dioksīds,</w:t>
            </w:r>
            <w:r>
              <w:br/>
            </w:r>
            <w:r w:rsidR="00000000" w:rsidRPr="00000000" w:rsidDel="00000000">
              <w:rPr>
                <w:rtl w:val="0"/>
              </w:rPr>
              <w:t xml:space="preserve">slāpekļa oksīds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Amonjaka ražošana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Oglekļa dioksīds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Organisko ķīmisko vielu lielapjoma ražošana krekinga, sadalīšanas, daļējas vai pilnīgas oksidēšanās vai līdzīgos procesos ar ražošanas jaudu virs 100 tonnām dienā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Oglekļa dioksīds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Ūdeņraža (H</w:t>
            </w:r>
            <w:r w:rsidR="00000000" w:rsidRPr="00000000" w:rsidDel="00000000">
              <w:rPr>
                <w:vertAlign w:val="subscript"/>
                <w:rtl w:val="0"/>
              </w:rPr>
              <w:t xml:space="preserve">2</w:t>
            </w:r>
            <w:r w:rsidR="00000000" w:rsidRPr="00000000" w:rsidDel="00000000">
              <w:rPr>
                <w:rtl w:val="0"/>
              </w:rPr>
              <w:t xml:space="preserve">) un sintēzes gāzes ražošana, ja ražošanas jauda pārsniedz 5 tonnas dienā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Oglekļa dioksīds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Nātrija karbonāta (Na</w:t>
            </w:r>
            <w:r w:rsidR="00000000" w:rsidRPr="00000000" w:rsidDel="00000000">
              <w:rPr>
                <w:vertAlign w:val="subscript"/>
                <w:rtl w:val="0"/>
              </w:rPr>
              <w:t xml:space="preserve">2</w:t>
            </w:r>
            <w:r w:rsidR="00000000" w:rsidRPr="00000000" w:rsidDel="00000000">
              <w:rPr>
                <w:rtl w:val="0"/>
              </w:rPr>
              <w:t xml:space="preserve">CO</w:t>
            </w:r>
            <w:r w:rsidR="00000000" w:rsidRPr="00000000" w:rsidDel="00000000">
              <w:rPr>
                <w:vertAlign w:val="subscript"/>
                <w:rtl w:val="0"/>
              </w:rPr>
              <w:t xml:space="preserve">3</w:t>
            </w:r>
            <w:r w:rsidR="00000000" w:rsidRPr="00000000" w:rsidDel="00000000">
              <w:rPr>
                <w:rtl w:val="0"/>
              </w:rPr>
              <w:t xml:space="preserve">) un nātrija bikarbonāta (NaHCO</w:t>
            </w:r>
            <w:r w:rsidR="00000000" w:rsidRPr="00000000" w:rsidDel="00000000">
              <w:rPr>
                <w:vertAlign w:val="subscript"/>
                <w:rtl w:val="0"/>
              </w:rPr>
              <w:t xml:space="preserve">3</w:t>
            </w:r>
            <w:r w:rsidR="00000000" w:rsidRPr="00000000" w:rsidDel="00000000">
              <w:rPr>
                <w:rtl w:val="0"/>
              </w:rPr>
              <w:t xml:space="preserve">) ražošana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Oglekļa dioksīds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Siltumnīcefekta gāzu uztveršana no tehnoloģiskas iekārtas, kurā tiek veikta viena vai vairākas šajā pielikumā minētās piesārņojošās darbības, lai šīs gāzes transportētu un uzglabātu ģeoloģiskās struktūrās ierīkotā uzglabāšanas vietā, kurā uzglabāšana atļauta saskaņā ar normatīvajiem aktiem par zemes dzīļu izmantošanu un piesārņojošu darbību veikšanu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Oglekļa dioksīds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Siltumnīcefekta gāzu transportēšana uz uzglabāšanas vietu, kas saņēmusi atļauju saskaņā ar Direktīvu 2009/31/EK, izņemot tās emisijas, ko aptver kāda cita darbība saskaņā ar šo direktīvu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Oglekļa dioksīds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Siltumnīcefekta gāzu uzglabāšana ģeoloģiskās struktūrās ierīkotā uzglabāšanas vietā, kurā uzglabāšana atļauta saskaņā ar normatīvajiem aktiem par zemes dzīļu izmantošanu un piesārņojošu darbību veikšanu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Oglekļa dioksīds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Jūras transports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Jūras transporta darbības , uz kurām attiecas Regula (ES) 2015/757, izņemot jūras transporta darbības, uz kurām attiecas minētās regulas 2. panta 1.a punkts un — līdz 2026. gada 31. decembrim — 2. panta 1.b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Oglekļa dioksīds;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2026. gada 1. janvāra: metāns un slāpekļa oksīds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21-TA-62</w:t>
    </w:r>
    <w:r>
      <w:br/>
    </w:r>
    <w:r w:rsidR="00000000" w:rsidRPr="00000000" w:rsidDel="00000000">
      <w:rPr>
        <w:rtl w:val="0"/>
      </w:rPr>
      <w:t xml:space="preserve">Izdrukāts 29.07.2026. 23.34 - 4.0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21-TA-62</w:t>
    </w:r>
    <w:r>
      <w:br/>
    </w:r>
    <w:r w:rsidR="00000000" w:rsidRPr="00000000" w:rsidDel="00000000">
      <w:rPr>
        <w:rtl w:val="0"/>
      </w:rPr>
      <w:t xml:space="preserve">Izdrukāts 29.07.2026. 23.34 - 4.0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likumprojekts_p1_21-TA-62.docx</dc:title>
</cp:coreProperties>
</file>

<file path=docProps/custom.xml><?xml version="1.0" encoding="utf-8"?>
<Properties xmlns="http://schemas.openxmlformats.org/officeDocument/2006/custom-properties" xmlns:vt="http://schemas.openxmlformats.org/officeDocument/2006/docPropsVTypes"/>
</file>