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31. martā (prot. Nr. 17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12. novembra noteikumos Nr. 710 "Eiropas Savienības kohēzijas politikas programmas 2021.–2027. gadam 3.1.1. specifiskā atbalsta mērķa "Attīstīt ilgtspējīgu, pret klimatu izturīgu, inteliģentu, drošu un vairākveidu TEN-T infrastruktūru" 3.1.1.2. pasākuma "Ieguldījumi TEN-T tīkla autoceļu drošībā un vides piekļūstamībā"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12. novembra noteikumos Nr. 710 "Eiropas Savienības kohēzijas politikas programmas 2021.–2027. gadam 3.1.1. specifiskā atbalsta mērķa "Attīstīt ilgtspējīgu, pret klimatu izturīgu, inteliģentu, drošu un vairākveidu TEN-T infrastruktūru" 3.1.1.2. pasākuma "Ieguldījumi TEN-T tīkla autoceļu drošībā un vides piekļūstamībā" īstenošanas noteikumi" (Latvijas Vēstnesis, 2024, 223.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Pasākuma ietvaros plānotais kopējais finansējums ir ne mazāks kā 65 973 240 </w:t>
      </w:r>
      <w:r w:rsidR="00000000" w:rsidRPr="00000000" w:rsidDel="00000000">
        <w:rPr>
          <w:i w:val="1"/>
          <w:rtl w:val="0"/>
        </w:rPr>
        <w:t xml:space="preserve">euro</w:t>
      </w:r>
      <w:r w:rsidR="00000000" w:rsidRPr="00000000" w:rsidDel="00000000">
        <w:rPr>
          <w:rtl w:val="0"/>
        </w:rPr>
        <w:t xml:space="preserve">, tai skaitā Kohēzijas fonda finansējums – 56 077 253 </w:t>
      </w:r>
      <w:r w:rsidR="00000000" w:rsidRPr="00000000" w:rsidDel="00000000">
        <w:rPr>
          <w:i w:val="1"/>
          <w:rtl w:val="0"/>
        </w:rPr>
        <w:t xml:space="preserve">euro</w:t>
      </w:r>
      <w:r w:rsidR="00000000" w:rsidRPr="00000000" w:rsidDel="00000000">
        <w:rPr>
          <w:rtl w:val="0"/>
        </w:rPr>
        <w:t xml:space="preserve"> un valsts budžeta finansējums – 9 895 987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Pasākumu īsteno līdz 2029. gada 31. decembrim, sasniedzot iznākuma rādītāju – objektu skaits, kuros uzlabota satiksmes dalībnieku, tostarp mazaizsargāto, drošība un vides piekļūstamība, – vismaz 7 objekti."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zemes iegādes izmaksas, ja zemes iegāde ir tieši nepieciešama projektā paredzētās būvniecības īstenošanai, bet ne vairāk kā 10 procenti no projektā plānoto attiecināmo izmaksu kopsummas;".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19.21.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"19.21. neparedzētās izmaksas ne vairāk kā 5 procentu apmērā no projektā plānoto kopējo tiešo attiecināmo izmaksu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Šo noteikumu 19.1., 19.2., 19.16. un 19.18. apakšpunktā minētās izmaksas kopā nepārsniedz 10 procentus no projektā plānotajām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Šo noteikumu 19.1., 19.2., 19.3., 19.16., 19.18. un 19.21. apakšpunktā minētās izmaksas nesamazina, ja projekta īstenošanas laikā rodas ietaupījums un projekta mērķi un rādītāji tiek sasniegti, kā arī ja ticis piemērots līgumsods vai tiek konstatētas neatbilstoši veiktas izmaksas, kas nav saistītas ar šo noteikumu 19.1., 19.2., 19.3., 19.16., 19.18. un 19.21. apakšpunktā minētajām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Pasākuma ietvaros izmaksas ir attiecināmas no 2022. gada 25. novembra, izņemot šo noteikumu 19.1., 19.2., 19.16. un 19.17. apakšpunktā minētās izmaksas, kas ir attiecināmas, ja tās veiktas pēc 2021. gada 1. janvāra. Projekta iesniegumā neiekļauj pabeigtas darbības un finansējumu tām nepiešķir."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"25.11. nodrošina interešu konflikta neesību saskaņā ar normatīvajiem aktiem publisko iepirkumu jomā, kā arī paraksta interešu konflikta neesības apliecinājumu;".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26-TA-65</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26-TA-65</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noteikumu_(grozījumu)_projekts_26-TA-65.docx</dc:title>
</cp:coreProperties>
</file>

<file path=docProps/custom.xml><?xml version="1.0" encoding="utf-8"?>
<Properties xmlns="http://schemas.openxmlformats.org/officeDocument/2006/custom-properties" xmlns:vt="http://schemas.openxmlformats.org/officeDocument/2006/docPropsVTypes"/>
</file>