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martā (prot. Nr. 9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4. aprīļa noteikumos Nr. 170 "Valsts un Eiropas Savienības atbalsta piešķiršanas kārtība pasākumā "Aizsargājamo jūras zīdītāju radīto zaudējumu segšana""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4. aprīļa noteikumos Nr. 170 "Valsts un Eiropas Savienības atbalsta piešķiršanas kārtība pasākumā "Aizsargājamo jūras zīdītāju radīto zaudējumu segšana"" (Latvijas Vēstnesis, 2023, 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5.2.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projekta iesniegumu, apliecinot Lauku atbalsta dienesta atlasīto datu patiesumu vai, ja ir izmaiņas,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vispārēju informāciju par atbalsta pretendentu;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informāciju par nozvejas apjomu Baltijas jūras un Rīgas līča piekrastes ūdeņos sadalījumā pa zivju sugām kalendāra gadā, par kuru pretendē uz publisko finansējumu, atbilstoši valsts informācijas sistēmas "Latvijas zivsaimniecības integrētā kontroles un informācijas sistēma" datiem;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8.1.3. projektu atlases kritērija punktu skaitu atbilstoši šo noteikumu pielikumā norādītajai informācijai;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8.1.4. kopējā publiskā finansējuma apmēra aprēķinu;".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25-TA-25</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25-TA-25</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noteikumu_(grozījumu)_projekts_25-TA-25.docx</dc:title>
</cp:coreProperties>
</file>

<file path=docProps/custom.xml><?xml version="1.0" encoding="utf-8"?>
<Properties xmlns="http://schemas.openxmlformats.org/officeDocument/2006/custom-properties" xmlns:vt="http://schemas.openxmlformats.org/officeDocument/2006/docPropsVTypes"/>
</file>