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17. maijā (prot. Nr. 27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17. decembra noteikumos Nr. 805 "Noteikumi par nekustamā īpašuma darījumu starpnieka kvalifikācijas celšanas pasākumiem"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Nekustamā īpašuma</w:t>
      </w:r>
      <w:r>
        <w:br/>
      </w:r>
      <w:r w:rsidR="00000000" w:rsidRPr="00000000" w:rsidDel="00000000">
        <w:rPr>
          <w:rStyle w:val="paragraph"/>
          <w:i w:val="1"/>
          <w:rtl w:val="0"/>
        </w:rPr>
        <w:t xml:space="preserve">darījumu starpnieku darbības likuma</w:t>
      </w:r>
      <w:r>
        <w:br/>
      </w:r>
      <w:r w:rsidR="00000000" w:rsidRPr="00000000" w:rsidDel="00000000">
        <w:rPr>
          <w:rStyle w:val="paragraph"/>
          <w:i w:val="1"/>
          <w:rtl w:val="0"/>
        </w:rPr>
        <w:t xml:space="preserve">13.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17. decembra noteikumos Nr. 805 "Noteikumi par nekustamā īpašuma darījumu starpnieka kvalifikācijas celšanas pasākumiem" (Latvijas Vēstnesis, 2020, 248. nr.; 2021, 189.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Starpnieks ir atbildīgs par kvalifikācijas celšanu un kalendāra gadā nodrošina ne mazāk kā 40 akadēmisko stundu kvalifikācijas celšanai (turpmāk – kvalifikācijas stundas) pie apmācību piedāvātāja, kas ir akreditēta izglītības iestāde, valsts pārvaldes iestāde, juridiska persona, personu apvienība vai nodibinājums, kura pamatfunkcijās vai darbības veidā ietilpst attiecīgo kvalifikācijas celšanas pasākumu organizēšana, vai valsts pārvaldes iestāde vai kredītiestāde, kura sniedz aktuālo informāciju nekustamā īpašuma darījumu starpniecības pakalpojuma jomā (turpmāk – apmācību piedāvātājs)."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darījuma sagatavošana, noformēšana un darbs ar klientu, nepārsniedzot 10 % no kopējā kvalifikācijas stundu 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starpnieks kalendāra gadā ir nodrošinājis kvalifikācijas celšanu vairāk nekā 40 kvalifikācijas stundu apmērā, tad tās stundas, kuras kalendāra gadā pārsniedz 40 kvalifikācijas stundas, tiek pieskaitītas nākamo triju kalendāra gadu kvalifikācijas stundām."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22-TA-787</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22-TA-787</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noteikumu_(grozījumu)_projekts_22-TA-787.docx</dc:title>
</cp:coreProperties>
</file>

<file path=docProps/custom.xml><?xml version="1.0" encoding="utf-8"?>
<Properties xmlns="http://schemas.openxmlformats.org/officeDocument/2006/custom-properties" xmlns:vt="http://schemas.openxmlformats.org/officeDocument/2006/docPropsVTypes"/>
</file>