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19. aprīļa noteikumos Nr. 312 "Enerģijas lietotāju apgādes un kurināmā pārdošanas kārtība izsludinātas enerģētiskās krīzes laikā un valsts apdraudējuma gadījumā"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64.panta pirmo daļu un 73.pantu</w:t>
      </w:r>
      <w:r>
        <w:br/>
      </w:r>
      <w:r w:rsidR="00000000" w:rsidRPr="00000000" w:rsidDel="00000000">
        <w:rPr>
          <w:rStyle w:val="paragraph"/>
          <w:i w:val="1"/>
          <w:rtl w:val="0"/>
        </w:rPr>
        <w:t xml:space="preserve">un </w:t>
      </w:r>
      <w:r w:rsidR="00000000" w:rsidRPr="00000000" w:rsidDel="00000000">
        <w:rPr>
          <w:rStyle w:val="paragraph"/>
          <w:i w:val="1"/>
          <w:rtl w:val="0"/>
        </w:rPr>
        <w:t xml:space="preserve">Mobilizācijas likuma</w:t>
      </w:r>
      <w:r w:rsidR="00000000" w:rsidRPr="00000000" w:rsidDel="00000000">
        <w:rPr>
          <w:rStyle w:val="paragraph"/>
          <w:i w:val="1"/>
          <w:rtl w:val="0"/>
        </w:rPr>
        <w:t xml:space="preserve"> 9.panta 7.punkta "a" apakšpunktu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19. aprīļa noteikumos Nr. 312 "Enerģijas lietotāju apgādes un kurināmā pārdošanas kārtība izsludinātas enerģētiskās krīzes laikā un valsts apdraudējuma gadījumā" (Latvijas Vēstnesis, 2011, 69. nr.; 2013, 37., 179. nr.; 2016, 164. nr.; 2017, 70. nr.; 2018, 101. nr.; 2019, 257. nr.; 2021, 225.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nodrošināmie lietotāji – mājsaimniecības, skolas, pirmsskolas izglītības iestādes, slimnīcas, valsts un pašvaldību ilgstošas sociālās aprūpes un sociālās rehabilitācijas institūcijas, krīzes centri, sociālās rehabilitācijas institūcijas personām, kurām izveidojusies atkarība no narkotiskajām, toksiskajām vai citām apreibinošām vielām,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 energoapgādes komersants, kas saskaņā ar normatīvo aktu par elektroenerģijas sistēmas vadības un lietošanas kārtību kontrolē dispečervadības grafika ģenerētājvienību ar jaudu virs 100MW un elektroenerģijas jaudas ģenerācijas pieejamību vismaz 900 stundas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pirmās grupas enerģijas lietotājiem un nodrošināmiem lietotājiem, kā arī dabasgāzes lietotājiem tādā apmērā, kādā tie glabā dabasgāzi Inčukalnu pazemes gāzes krātuvē uz pirmā līmeņa enerģētiskās krīzes izsludināšanas brīdi, enerģijas patēriņa ierobežojums dabasgāzē netiek piemērots;".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nodrošināmiem lietotājiem, kā arī dabasgāzes lietotājiem tādā apmērā, kādā tie glabā dabasgāzi Inčukalna pazemes gāzes krātuvē uz otrā līmeņa enerģētiskās krīzes izsludināšanas brīdi, enerģijas patēriņš netiek ierobežots."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nodrošināmiem lietotājiem, kā arī dabasgāzes lietotājiem tādā apmērā, kādā tie glabā dabasgāzi Inčukalna pazemes gāzes krātuvē uz trešā līmeņa enerģētiskās krīzes izsludināšanas brīdi, enerģijas patēriņš netiek ierobežots.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Izsludinātas valsts enerģētiskās krīzes gadījumā, dabasgāzes uzglabāšanas sistēmas operators vienas dienas laikā iesniedz Valsts enerģētiskās krīzes centram un dabasgāzes sadales sistēmas operatoram dabasgāzes patērētāju sarakstu un dabasgāzes apjomu, kas tiek glabāta  Inčukalna pazemes gāzes krātuvē uz enerģētiskās krīzes izsludināšanas brīdi."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Energoapgādes komersantiem, kas saskaņā ar normatīvo aktu par elektroenerģijas sistēmas vadības un lietošanas kārtību kontrolē dispečervadības grafika ģenerētājvienību ar jaudu virs 100MW un elektroenerģijas jaudas ģenerācijas pieejamību vismaz 900 stundas gadā, Valsts enerģētiskās krīzes centrs nosaka individuāli enerģijas patēriņa ierobežojumus katram lietotāja objektam. Valsts enerģētiskās krīzes centrs par ierobežojumiem  katram lietotāja objektam informē dabasgāzes sadales sistēmas operatoru.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atbilstoši šo noteikumu 33.punktam Ministru kabinets lemj par valsts enerģētiskās krīzes dabasgāzes apgādes jomā izsludināšanu un dabasgāzes tirgotājs nevar nodrošināt nodrošināmos lietotājus ar dabasgāzi, tad nodrošināmo lietotāju dabasgāzes apgādi veic akciju sabiedrība “Latvenergo”."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Akciju sabiedrībai “Latvenergo” ir tiesības pieprasīt, lai dabasgāzes tirgotājs un dabasgāzes sadales sistēmas operators sniedz informāciju, kas nepieciešama šo noteikumu 10.</w:t>
      </w:r>
      <w:r w:rsidR="00000000" w:rsidRPr="00000000" w:rsidDel="00000000">
        <w:rPr>
          <w:vertAlign w:val="superscript"/>
          <w:rtl w:val="0"/>
        </w:rPr>
        <w:t xml:space="preserve">1</w:t>
      </w:r>
      <w:r w:rsidR="00000000" w:rsidRPr="00000000" w:rsidDel="00000000">
        <w:rPr>
          <w:rtl w:val="0"/>
        </w:rPr>
        <w:t xml:space="preserve">punktā minētās funkcijas izpildei."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22-TA-2527</w:t>
    </w:r>
    <w:r>
      <w:br/>
    </w:r>
    <w:r w:rsidR="00000000" w:rsidRPr="00000000" w:rsidDel="00000000">
      <w:rPr>
        <w:rtl w:val="0"/>
      </w:rPr>
      <w:t xml:space="preserve">Izdrukāts 29.07.2026. 23.10 - 2.0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22-TA-2527</w:t>
    </w:r>
    <w:r>
      <w:br/>
    </w:r>
    <w:r w:rsidR="00000000" w:rsidRPr="00000000" w:rsidDel="00000000">
      <w:rPr>
        <w:rtl w:val="0"/>
      </w:rPr>
      <w:t xml:space="preserve">Izdrukāts 29.07.2026. 23.10 - 2.0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noteikumu_(grozījumu)_projekts_22-TA-2527.docx</dc:title>
</cp:coreProperties>
</file>

<file path=docProps/custom.xml><?xml version="1.0" encoding="utf-8"?>
<Properties xmlns="http://schemas.openxmlformats.org/officeDocument/2006/custom-properties" xmlns:vt="http://schemas.openxmlformats.org/officeDocument/2006/docPropsVTypes"/>
</file>