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2,547896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480,73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Par ģimenes ārsta praksē vai laboratorijā veiktu profilaktisko izmeklējumu – slēpto asiņu izmeklējums fēcēs – ģimenes ārsts saņem maksājumu – 0,71 </w:t>
      </w:r>
      <w:r w:rsidR="00000000" w:rsidRPr="00000000" w:rsidDel="00000000">
        <w:rPr>
          <w:i w:val="1"/>
          <w:rtl w:val="0"/>
        </w:rPr>
        <w:t xml:space="preserve">euro</w:t>
      </w:r>
      <w:r w:rsidR="00000000" w:rsidRPr="00000000" w:rsidDel="00000000">
        <w:rPr>
          <w:rtl w:val="0"/>
        </w:rPr>
        <w:t xml:space="preserve"> par katru pieaugušo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75,00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jūnijam,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3,56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0,61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noteikumu_konsolidētā_versija_p11_22-TA-292.docx</dc:title>
</cp:coreProperties>
</file>

<file path=docProps/custom.xml><?xml version="1.0" encoding="utf-8"?>
<Properties xmlns="http://schemas.openxmlformats.org/officeDocument/2006/custom-properties" xmlns:vt="http://schemas.openxmlformats.org/officeDocument/2006/docPropsVTypes"/>
</file>