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07.05.2019. noteikumu Nr. 192 redakcijā, kas grozīta ar MK 17.12.2020. noteikumiem Nr. 816)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šo noteikumu 14.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IV vai V līmeņa stacionārajām ārstniecības iestādēm;</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kvalitātes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dzemdību, tuberkulozes ārstēšanas, insulta vienības, apsaldējumu un apdegumu ārstēšanas, ķīmijterapijas, cilmes šūnu transplantācijas, paliatīvās aprūpes pakalpojumus, kā arī lielo locītavu endoprotezēšanas pakalpojumus (ja ārstniecības iestādei ir nepieciešamie resursi plānotā apjoma izpildei), bet nosaka to ne mazāku kā iepriekšējā gadā ārstniecības iestādei līgumā plānoto pacientu skaitu;</w:t>
      </w:r>
      <w:r>
        <w:tab/>
      </w:r>
      <w:r>
        <w:br/>
      </w:r>
      <w:r>
        <w:tab/>
      </w:r>
      <w:r>
        <w:br/>
      </w:r>
      <w:r w:rsidR="00000000" w:rsidRPr="00000000" w:rsidDel="00000000">
        <w:rPr>
          <w:rtl w:val="0"/>
        </w:rPr>
        <w:t xml:space="preserve">3.1.2.2. plānojot nieru transplantācijas pakalpojumus, pacientu skaitu nosaka atbilstoši publiski pieejamiem aktuālajiem Iedzīvotāju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to ārstniecības iestāžu vidējais viena pacienta stacionēšanas gadījuma izmaksu bāzes tarifs, kas sniedz DRG pakalpojumus (aprēķina katru gadu atbilstoši vadības informācijas sistēmas datiem – pie summas, kas iegūta, reizinot gultasdienu skaitu ar šo noteikumu 6. pielikuma 1. punktā III līmeņa ārstniecības iestādēm noteikto gultasdienas tarifu, pieskaitot manipulāciju sarakstā ar zvaigznīti (*) atzīmēto veikto manipulāciju tarifu summu un iegūto kopsummu dalot ar kopējo stacionēšanas gadījumu skaitu. V līmeņa ārstniecības iestādēm, izņemot specializētās ārstniecības iestādes, atbilstoši pieejamam finansējumam papildus piemēro bāzes koeficientu, tuvinot bāzes tarifa aprēķinā izmantotās gultasdienas tarifa vērtību šo noteikumu 6. pielikuma 1. punktā V līmeņa ārstniecības iestādēm noteiktajam gultasdienas tarifam);</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gadā apmaksātajam apjomam;</w:t>
      </w:r>
      <w:r>
        <w:tab/>
      </w:r>
      <w:r>
        <w:br/>
      </w:r>
      <w:r>
        <w:tab/>
      </w:r>
      <w:r>
        <w:br/>
      </w:r>
      <w:r w:rsidR="00000000" w:rsidRPr="00000000" w:rsidDel="00000000">
        <w:rPr>
          <w:rtl w:val="0"/>
        </w:rPr>
        <w:t xml:space="preserve">4.7. ilgstoši slimojošām personām, personām ar prognozējamu invaliditāti un personām, kas saņem ilgstošo mākslīgo plaušu ventilāciju, sniegto pakalpojumu apmaksai nepieciešamo finansējumu dienests plāno atbilstoši iepriekšējā gadā apmaksātajam apjomam un plānotajam valsts budžeta finansējumam kārtējam gadam;</w:t>
      </w:r>
      <w:r>
        <w:tab/>
      </w:r>
      <w:r>
        <w:br/>
      </w:r>
      <w:r>
        <w:tab/>
      </w:r>
      <w:r>
        <w:br/>
      </w:r>
      <w:r w:rsidR="00000000" w:rsidRPr="00000000" w:rsidDel="00000000">
        <w:rPr>
          <w:rtl w:val="0"/>
        </w:rPr>
        <w:t xml:space="preserve">4.8. pacienta līdzmaksājuma kompensāciju par personām, kas atbrīvotas no pacienta līdzmaksājuma, plāno atbilstoši iepriekšējā gadā kompensēto līdzekļu apjomam, proporcionāli attiecinot to pret kopējo pacientu skaitu;</w:t>
      </w:r>
      <w:r>
        <w:tab/>
      </w:r>
      <w:r>
        <w:br/>
      </w:r>
      <w:r>
        <w:tab/>
      </w:r>
      <w:r>
        <w:br/>
      </w:r>
      <w:r w:rsidR="00000000" w:rsidRPr="00000000" w:rsidDel="00000000">
        <w:rPr>
          <w:rtl w:val="0"/>
        </w:rPr>
        <w:t xml:space="preserve">4.9.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noteikumu_konsolidētā_versija_p14_22-TA-292.docx</dc:title>
</cp:coreProperties>
</file>

<file path=docProps/custom.xml><?xml version="1.0" encoding="utf-8"?>
<Properties xmlns="http://schemas.openxmlformats.org/officeDocument/2006/custom-properties" xmlns:vt="http://schemas.openxmlformats.org/officeDocument/2006/docPropsVTypes"/>
</file>