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Profilaktiskās apskates (izmeklējumi) un sirds un asinsvadu slimību riska noteikšana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10.12.2019. noteikumu Nr. 642 redakcijā, kas grozīta ar MK 17.12.2020. noteikumiem Nr. 816; MK 27.04.2021. noteikumiem Nr. 272; MK 29.06.2021. noteikumiem Nr. 438)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Bērnu profilaktiskās apskates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802"/>
        <w:gridCol w:w="802"/>
        <w:gridCol w:w="993"/>
        <w:gridCol w:w="993"/>
        <w:gridCol w:w="993"/>
        <w:gridCol w:w="2526"/>
        <w:gridCol w:w="2526"/>
        <w:gridCol w:w="2526"/>
        <w:gridCol w:w="2526"/>
        <w:gridCol w:w="2526"/>
        <w:gridCol w:w="2526"/>
        <w:gridCol w:w="2526"/>
        <w:gridCol w:w="2526"/>
        <w:gridCol w:w="2526"/>
        <w:gridCol w:w="1185"/>
        <w:gridCol w:w="1185"/>
        <w:gridCol w:w="1185"/>
        <w:gridCol w:w="1185"/>
        <w:gridCol w:w="802"/>
        <w:gridCol w:w="802"/>
        <w:gridCol w:w="802"/>
        <w:gridCol w:w="993"/>
        <w:tblGridChange w:id="0">
          <w:tblGrid>
            <w:gridCol w:w="1856"/>
            <w:gridCol w:w="802"/>
            <w:gridCol w:w="802"/>
            <w:gridCol w:w="993"/>
            <w:gridCol w:w="993"/>
            <w:gridCol w:w="993"/>
            <w:gridCol w:w="2526"/>
            <w:gridCol w:w="2526"/>
            <w:gridCol w:w="2526"/>
            <w:gridCol w:w="2526"/>
            <w:gridCol w:w="2526"/>
            <w:gridCol w:w="2526"/>
            <w:gridCol w:w="2526"/>
            <w:gridCol w:w="2526"/>
            <w:gridCol w:w="2526"/>
            <w:gridCol w:w="1185"/>
            <w:gridCol w:w="1185"/>
            <w:gridCol w:w="1185"/>
            <w:gridCol w:w="1185"/>
            <w:gridCol w:w="802"/>
            <w:gridCol w:w="802"/>
            <w:gridCol w:w="802"/>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Agrīnais neonatālais periods</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Jaundzimušā periods</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Zīdaiņa periods</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Mazbērna periods</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Pirmsskolas periods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Skolas periods</w:t>
            </w:r>
          </w:p>
        </w:tc>
      </w:tr>
      <w:tr>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Vecums</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48–78 h</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 dzīves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diena</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7.–14. dzīves diena</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15.–21. dzīves diena</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22.–28. dzīves diena</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mēn.</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mēn.</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mēn.</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mēn.</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mēn.</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 mēn.</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 mēn.</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9–11 mēn.</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mēn.</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13–18 mēn.</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19–24 mēn.</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g.</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g.</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g.</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g.</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 g.</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7–18 g.</w:t>
            </w:r>
          </w:p>
        </w:tc>
      </w:tr>
      <w:tr>
        <w:tc>
          <w:tcPr>
            <w:shd w:fill="ffffff"/>
            <w:vAlign w:val="center"/>
            <w:noWrap w:val="true"/>
            <w:gridSpan w:val="2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Ģimenes ārsta veikta apskate: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mājās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ārsta prakses vietā</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Reizi gadā</w:t>
            </w:r>
          </w:p>
        </w:tc>
      </w:tr>
      <w:tr>
        <w:tc>
          <w:tcPr>
            <w:shd w:fill="ffffff"/>
            <w:vAlign w:val="center"/>
            <w:noWrap w:val="true"/>
            <w:gridSpan w:val="2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Vecmātes vai ģimenes ārsta praksē strādājošas māsas vai ārsta palīga (feldšera) veikta apskate: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mājās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vienu reizi 10 dienās</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ja bērns neierodas uz noteikto apskati ārsta praksē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ārsta prakses vietā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Skrīnings: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fenilalanīna noteikšana asinīs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tireotropā hormona noteikšana asinīs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jaundzimušo biotinidāzes enzīmiskās aktivitātes noteikšana asinīs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jaundzimušo 17-OH-progesterona noteikšana asinīs ar fluorometrisko enzīmu imūntestu (FEIA)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jaundzimušo kopējās galaktozes kvantitatīva fluorometriska noteikšana asinīs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 imūnreaktīvā tripsinogēna (IRT) noteikšana asinīs ar fluorometrisko enzīmu imūntestu (FEIA)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 dzirdes pārbaude ar otoakustiskās emisijas metodi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1.4.8. redzes pārbaude</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Imūnprofilakse</w:t>
            </w:r>
          </w:p>
        </w:tc>
        <w:tc>
          <w:tcPr>
            <w:shd w:fill="ffffff"/>
            <w:vAlign w:val="center"/>
            <w:noWrap w:val="true"/>
            <w:gridSpan w:val="2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vakcinācijas kalendāram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Neonatologa apskate bērniem, kas dzimuši līdz 34. gestācijas nedēļai (nodrošina VSIA "Bērnu klīniskā universitātes slimnīca", VSIA "Paula Stradiņa klīniskā universitātes slimnīca", SIA "Liepājas reģionālā slimnīca", SIA "Daugavpils reģionālā slimnīca", SIA "Vidzemes slimnīca", SIA "Jēkabpils reģionālā slimnīca" vai SIA "Rīgas Dzemdību nams" nodarbināts neonatologs)</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Koriģētā 40. gestācijas nedēļa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Koriģētā 44. gestācijas nedēļa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Koriģētā 3 mēnešu vecumā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Koriģētā 6 mēnešu vecumā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Koriģētā 9 mēnešu vecumā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Koriģētā 12 mēnešu vecumā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Koriģētā 18 mēnešu vecumā</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Koriģētā 24 mēnešu vecumā</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Zobu higiēnista apmeklējums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Reizi gadā, bet bērniem 7, 11 un 12 gadu vecumā – divas reizes attiecīgajā vecuma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Glikozes līmeņa noteikšana venozo asiņu plazmā (mmol/l) tukšā dūšā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Reizi gadā no 10 gadu vecuma riska grupas pacientiem</w:t>
            </w:r>
            <w:r w:rsidR="00000000" w:rsidRPr="00000000" w:rsidDel="00000000">
              <w:rPr>
                <w:vertAlign w:val="superscript"/>
                <w:rtl w:val="0"/>
              </w:rPr>
              <w:t xml:space="preserve">3</w:t>
            </w:r>
          </w:p>
        </w:tc>
      </w:tr>
      <w:tr>
        <w:tc>
          <w:tcPr>
            <w:shd w:fill="ffffff"/>
            <w:vAlign w:val="center"/>
            <w:noWrap w:val="true"/>
            <w:gridSpan w:val="2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13–24 mēnešu vecumā: redzes spēju orientējoša pārbaude, šķielēšanas leņķis ar aizklāšanas un prizmas testu, acs ābolu kustības, skiaskopija pēc īsas cikloplēģijas, acs dibena apskate, paplašinot zīlītes. 3 gadu vecumā: salīdzinoša redzes asuma pārbaude pēc E burtu tabulas vai zīmējumu tabulas, šķielēšanas leņķis ar aizklāšanas un prizmas testu, acs ābolu kustības, skiaskopija pēc īsas cikloplēģijas, acs dibena apskate, paplašinot zīlītes. 6–7 gadu vecumā: redzes asums tuvumā un tālumā, stereoredzes un binokulārās redzes pārbaude, acu kustību pārbaude, konverģences pārbaude, šķielēšanas leņķis ar aizklāšanas un prizmas testu, acs ābolu kustības, skiaskopija pēc īsas cikloplēģijas, acs dibena apskate, paplašinot zīlītes. Minētās redzes pārbaudes veic oftalmologs.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Neonatologa apskates nodrošināmas līdz koriģētam viena gada vecumam vai, ja saņemts speciālista atzinums par nepieciešamību turpināt novērošanu, līdz koriģētam divu gadu vecumam.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Pie riska grupas pacientiem pieder bērni, kam ķermeņa masas indekss (turpmāk – ĶMI) ≥ 85 procentilēm attiecībā pret vecumu, augumu un dzimumu un kam ir vismaz viens no sekojošiem riska faktoriem: ģimenes anamnēzē 1. vai 2. pakāpes radiniekam 2. tipa cukura diabēts; mātei cukura diabēts vai gestācijas cukura diabēts grūtniecības laikā ar konkrēto bērnu; piederība augsta riska etniskai grupai (afroamerikāņu, indiāņu, spāņu, Āzijas vai Klusā okeāna salu iedzīvotāji); insulīna rezistences pazīmes vai stāvokļi, kas asociējas ar insulīna rezistenci (</w:t>
            </w:r>
            <w:r w:rsidR="00000000" w:rsidRPr="00000000" w:rsidDel="00000000">
              <w:rPr>
                <w:i w:val="1"/>
                <w:rtl w:val="0"/>
              </w:rPr>
              <w:t xml:space="preserve">acanthosis nigricans</w:t>
            </w:r>
            <w:r w:rsidR="00000000" w:rsidRPr="00000000" w:rsidDel="00000000">
              <w:rPr>
                <w:rtl w:val="0"/>
              </w:rPr>
              <w:t xml:space="preserve">, arteriāla hipertensija, dislipidēmija, policistisko olnīcu sindroms, gestācijas laikam mazs dzimšanas svars).</w:t>
            </w:r>
            <w:r>
              <w:tab/>
            </w:r>
            <w:r>
              <w:br/>
            </w:r>
            <w:r>
              <w:tab/>
            </w:r>
            <w:r>
              <w:br/>
            </w:r>
            <w:r w:rsidR="00000000" w:rsidRPr="00000000" w:rsidDel="00000000">
              <w:rPr>
                <w:vertAlign w:val="superscript"/>
                <w:rtl w:val="0"/>
              </w:rPr>
              <w:t xml:space="preserve">4</w:t>
            </w:r>
            <w:r w:rsidR="00000000" w:rsidRPr="00000000" w:rsidDel="00000000">
              <w:rPr>
                <w:rtl w:val="0"/>
              </w:rPr>
              <w:t xml:space="preserve"> Ģimenes ārsts nodrošina bērna agrīnu attīstības izvērtējumu, ko veic vienu reizi vecumā no pusotra gada līdz trim gadiem.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Pieaugušo profilaktiskās apskates: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7"/>
        <w:gridCol w:w="227"/>
        <w:gridCol w:w="227"/>
        <w:gridCol w:w="323"/>
        <w:gridCol w:w="227"/>
        <w:gridCol w:w="227"/>
        <w:gridCol w:w="323"/>
        <w:gridCol w:w="323"/>
        <w:gridCol w:w="227"/>
        <w:gridCol w:w="323"/>
        <w:gridCol w:w="227"/>
        <w:gridCol w:w="227"/>
        <w:gridCol w:w="323"/>
        <w:gridCol w:w="227"/>
        <w:gridCol w:w="323"/>
        <w:gridCol w:w="227"/>
        <w:gridCol w:w="227"/>
        <w:gridCol w:w="227"/>
        <w:gridCol w:w="227"/>
        <w:gridCol w:w="419"/>
        <w:gridCol w:w="227"/>
        <w:gridCol w:w="227"/>
        <w:gridCol w:w="227"/>
        <w:gridCol w:w="227"/>
        <w:gridCol w:w="323"/>
        <w:gridCol w:w="323"/>
        <w:gridCol w:w="227"/>
        <w:gridCol w:w="323"/>
        <w:gridCol w:w="323"/>
        <w:tblGridChange w:id="0">
          <w:tblGrid>
            <w:gridCol w:w="227"/>
            <w:gridCol w:w="227"/>
            <w:gridCol w:w="227"/>
            <w:gridCol w:w="323"/>
            <w:gridCol w:w="227"/>
            <w:gridCol w:w="227"/>
            <w:gridCol w:w="323"/>
            <w:gridCol w:w="323"/>
            <w:gridCol w:w="227"/>
            <w:gridCol w:w="323"/>
            <w:gridCol w:w="227"/>
            <w:gridCol w:w="227"/>
            <w:gridCol w:w="323"/>
            <w:gridCol w:w="227"/>
            <w:gridCol w:w="323"/>
            <w:gridCol w:w="227"/>
            <w:gridCol w:w="227"/>
            <w:gridCol w:w="227"/>
            <w:gridCol w:w="227"/>
            <w:gridCol w:w="419"/>
            <w:gridCol w:w="227"/>
            <w:gridCol w:w="227"/>
            <w:gridCol w:w="227"/>
            <w:gridCol w:w="227"/>
            <w:gridCol w:w="323"/>
            <w:gridCol w:w="323"/>
            <w:gridCol w:w="227"/>
            <w:gridCol w:w="323"/>
            <w:gridCol w:w="32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Personas vecums pilnos gados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Ģimenes ārsta veiktā vispārējā veselības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Sūdzību anamnēze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Ķermeņa svars un augums, ĶMI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 Arteriālā asins-spiediena un pulsa noteikšana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Ādas un gļotādu stāvoklis, mutes dobuma apskate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 Kakla, padušu, cirkšņu limf-mezglu apskate un palpācija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 Vairog-dziedzera projekcijas novērtēšana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2.2.7. Krūšu dziedzeru izskats un palpācija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2.2.8. Sirds-darbības, miega artēriju un plaušu auskultācija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2.2.9. Vēdera palpācija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2.2.10. Redzes, dzirdes, psihes, jušanas, kustību, neirolo-ģisko traucē-jumu, traumu seku novērtēšana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2.2.11. Rektālā digitālā palpācija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 Valsts organizēts skrīnings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Dzemdes kakla onkocito-loģiskā izmeklēšana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Krūts vēža profilak-tiskā pārbaude – mamo-grāfija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Zarnu vēža profilak-tiskā pārbaude – slēpto asiņu noteikšana fēcēs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Prostatas vēža skrīnings</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Sirds un asinsvadu slimību riska noteikšana ar SCORE metodi</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Anamnēzes ievākšana – ģimenes anamnēze (agrīna (līdz 50 g.) ateroskle-rotiska kardiovas-kulāra slimība vai pēkšņa nāve), smēķēšana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Vidukļa apkārt-mērs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Kopējā holeste-rīna noteik-šana asinīs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 Augsta blīvuma holeste-rīna noteik-šana asinīs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2.4.5. Zema blīvuma holeste-rīna noteik-šana asinīs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 Trigli-cerīdu noteik-šana asinīs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2.4.7. Elektro-kardio-gramma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2.4.8. SCORE riska grupas noteik-šana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Glikozes līmeņa noteik-šana venozo asiņu plazmā (mmol/l) tukšā dūšā</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Imūn-profilakse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18–24 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Reizi gadā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vakcinācijas kalendāram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26–27 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Reizi gadā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29–30 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Reizi gadā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32–33 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Reizi gadā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 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35–36 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Reizi gadā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38–39 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Reizi gadā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 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41–42 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Reizi gadā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 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 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 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 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 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 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 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 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 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 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 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 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 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 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 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 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 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 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 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 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 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 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 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 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 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 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 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 g.</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1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Reizi gadā</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Prostatas vēža skrīningu var nodrošināt vīriešiem no 45 gadiem, ja ģimenes anamnēzē ir konstatēts prostatas vēzis.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SCORE metode – metode fatālu kardiovaskulāru notikumu riska noteikšanai tuvāko 10 gadu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Riska grupas pacientiem glikozes līmeni venozo asiņu plazmā (mmol/l) tukšā dūšā nosaka reizi gadā. Pie riska grupas pieder personas ar ĶMI ≥ 25 kg/m</w:t>
      </w:r>
      <w:r w:rsidR="00000000" w:rsidRPr="00000000" w:rsidDel="00000000">
        <w:rPr>
          <w:vertAlign w:val="superscript"/>
          <w:rtl w:val="0"/>
        </w:rPr>
        <w:t xml:space="preserve">2</w:t>
      </w:r>
      <w:r w:rsidR="00000000" w:rsidRPr="00000000" w:rsidDel="00000000">
        <w:rPr>
          <w:rtl w:val="0"/>
        </w:rPr>
        <w:t xml:space="preserve"> un ar vismaz vienu no riska faktoriem: 1. pakāpes radiniekam diagnosticēts cukura diabēts, koronārā sirds slimība un/vai tranzitori išēmiska lēkme, un/vai insults anamnēzē, arteriālā hipertensija, augsta blīvuma holesterīns &lt; 0,90 mmol/l un/vai triglicerīdi &gt; 2,82 mmol/l, policistisko olnīcu sindroms, mazkustīgs dzīvesveids (fiziskā aktivitāte &lt; 30 min/dienā vai &lt; 4 h/nedēļā), stāvokļi, kas saistāmi ar insulīnrezistenci (abdominālā aptaukošanās – vēdera apkārtmērs sievietēm &gt; 80 cm, vīriešiem &gt; 94 cm, </w:t>
      </w:r>
      <w:r w:rsidR="00000000" w:rsidRPr="00000000" w:rsidDel="00000000">
        <w:rPr>
          <w:i w:val="1"/>
          <w:rtl w:val="0"/>
        </w:rPr>
        <w:t xml:space="preserve">acanthosis nigricans</w:t>
      </w:r>
      <w:r w:rsidR="00000000" w:rsidRPr="00000000" w:rsidDel="00000000">
        <w:rPr>
          <w:rtl w:val="0"/>
        </w:rPr>
        <w:t xml:space="preserve">, taukainā hepatoze).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Grūtnieces un nedēļnieces aprūpe notiek atbilstoši normatīvajiem aktiem par dzemdībpalīdzības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Sportistiem līdz 18 gadu vecumam un bērniem ar paaugstinātu fizisko slodzi sporta ārsta un ģimenes ārsta veiktās profilaktiskās un medicīniskās pārbaudes notiek atbilstoši normatīvajam aktam, kas nosaka sportistu un bērnu ar paaugstinātu fizisko slodzi veselības aprūpes un medicīniskās uzraudzības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Profilaktiskās apskates ietvaros veiktajā ģimenes ārsta apskatē ģimenes ārsts izvērtē papildu izmeklējumu un speciālistu konsultāciju nepieciešamību.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Veselības aprūpes pakalpojumus sirds un asinsvadu slimību profilaksei īsteno ģimenes ārsta prakse vienu reizi konkrētā vecuma grupā. Pēc sirds un asinsvadu slimību riska noteikšanas ģimenes ārsts iesaka un nosaka pacientam turpmākos pasākumus, ievērojot līgumā ar dienestu noteikto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Šajā pielikumā noteiktā kārtība sirds un asinsvadu slimību profilaksei neattiecas uz augsta un ļoti augsta riska pacientiem, kuriem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kardiovaskulāra slimība ar vienu no šādām pazīmēm: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 bijis miokarda infarkts vai akūts koronārs sindroms;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 bijusi koronārā revaskularizācija – perkutāna koronāra intervence vai koronāro artēriju šuntēšana;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 bijusi citu (nevis koronāro) artēriju revaskularizācija;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7.1.4. bijis artēriju aterotrombotisks insults vai tranzitora išēmiska lēkme;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7.1.5. aortas aneirisma vai perifēro artēriju slimība;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7.1.6. nešaubīga aterosklerotiska panga koronārā, miega vai citā artērijā, kas konstatēta angiogrāfijā vai ultrasonoskopijā, vai citā neinvazīvā attēldiagnostiskā izmeklējumā, izņemot gadījumu, ja asinsvadu sienas vidējā slāņa (</w:t>
      </w:r>
      <w:r w:rsidR="00000000" w:rsidRPr="00000000" w:rsidDel="00000000">
        <w:rPr>
          <w:i w:val="1"/>
          <w:rtl w:val="0"/>
        </w:rPr>
        <w:t xml:space="preserve">intima media</w:t>
      </w:r>
      <w:r w:rsidR="00000000" w:rsidRPr="00000000" w:rsidDel="00000000">
        <w:rPr>
          <w:rtl w:val="0"/>
        </w:rPr>
        <w:t xml:space="preserve"> sabiezējums (IMT)) biezums ir līdz 1,5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pirmā vai otrā tipa cukura diabēts ar mērķa orgānu bojājumu vai bez tā, ar vienu vai vairākiem sirds un asinsvadu slimību riska faktoriem (smēķēšana, hiperholesterinēmija vai izteikta (otrās vai trešās pakāpes) arteriāla hipertensija) vai bez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smaga vai mērena hroniska nieru slimība ar glomerulu filtrācijas ātrumu, kas zemāks par 59 ml/min/1,73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smaga (trešās pakāpes) arteriāla hipertensija;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ģimenes jeb primāra hiperlipidēmija.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22-TA-292</w:t>
    </w:r>
    <w:r>
      <w:br/>
    </w:r>
    <w:r w:rsidR="00000000" w:rsidRPr="00000000" w:rsidDel="00000000">
      <w:rPr>
        <w:rtl w:val="0"/>
      </w:rPr>
      <w:t xml:space="preserve">Izdrukāts 29.07.2026. 22.47 - 1.0.VK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22-TA-292</w:t>
    </w:r>
    <w:r>
      <w:br/>
    </w:r>
    <w:r w:rsidR="00000000" w:rsidRPr="00000000" w:rsidDel="00000000">
      <w:rPr>
        <w:rtl w:val="0"/>
      </w:rPr>
      <w:t xml:space="preserve">Izdrukāts 29.07.2026. 22.47 - 1.0.VK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noteikumu_konsolidētā_versija_p1_22-TA-292.docx</dc:title>
</cp:coreProperties>
</file>

<file path=docProps/custom.xml><?xml version="1.0" encoding="utf-8"?>
<Properties xmlns="http://schemas.openxmlformats.org/officeDocument/2006/custom-properties" xmlns:vt="http://schemas.openxmlformats.org/officeDocument/2006/docPropsVTypes"/>
</file>