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29. marta noteikumos Nr. 179 "Kārtība, kādā nosakāms naudas sods par Konkurences likuma 11. panta pirmajā daļā, 13. un 14.</w:t>
      </w:r>
      <w:r w:rsidR="00000000" w:rsidRPr="00000000" w:rsidDel="00000000">
        <w:rPr>
          <w:rStyle w:val="paragraph_header"/>
          <w:b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_header"/>
          <w:b w:val="1"/>
          <w:rtl w:val="0"/>
        </w:rPr>
        <w:t xml:space="preserve"> pantā un Negodīgas mazumtirdzniecības prakses aizlieguma likuma 5., 6., 7. un 8. pantā paredzētajiem pārkāpumiem""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22-TA-731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