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 Kohēzijas fonda 2014.–2020. gada plānošanas perioda 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9.3.1. specifiskā atbalsta mērķa "Attīstīt pakalpojumu infrastruktūru bērnu aprūpei ģimeniskā vidē un personu ar invaliditāti neatkarīgai dzīvei un integrācijai sabiedrībā" 9.3.1.3. pasākumu "Sabiedrībā balstītu sociālo pakalpojumu infrastruktūras attīstība Rīgas valstspilsētā"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sabiedrībā balstītu sociālo pakalpojumu infrastruktūras izveide un attīstība Rīgas valstspilsētas pašvaldībā.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pilngadīgas personas ar garīga rakstura traucējumiem, kuras no valsts finansētām ilgstošas sociālās aprūpes un sociālās rehabilitācijas institūcijām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2023. gada 31. decembrim sasniedzams šāds uzraudzības (iznākuma) rādītājs – izveidoto un labiekārtoto vietu skaits sabiedrībā balstītu sociālo pakalpojumu sniegšanai personām ar garīga rakstura traucējumiem un bērniem ar funkcionāliem traucējumiem – 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kopējais attiecināmais finansējums ir ne mazāk kā 2 600 000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480 886 </w:t>
      </w:r>
      <w:r w:rsidR="00000000" w:rsidRPr="00000000" w:rsidDel="00000000">
        <w:rPr>
          <w:i w:val="1"/>
          <w:rtl w:val="0"/>
        </w:rPr>
        <w:t xml:space="preserve">euro</w:t>
      </w:r>
      <w:r w:rsidR="00000000" w:rsidRPr="00000000" w:rsidDel="00000000">
        <w:rPr>
          <w:rtl w:val="0"/>
        </w:rPr>
        <w:t xml:space="preserve">, valsts budžeta virssaistību finansējums – 782 851 </w:t>
      </w:r>
      <w:r w:rsidR="00000000" w:rsidRPr="00000000" w:rsidDel="00000000">
        <w:rPr>
          <w:i w:val="1"/>
          <w:rtl w:val="0"/>
        </w:rPr>
        <w:t xml:space="preserve">euro</w:t>
      </w:r>
      <w:r w:rsidR="00000000" w:rsidRPr="00000000" w:rsidDel="00000000">
        <w:rPr>
          <w:rtl w:val="0"/>
        </w:rPr>
        <w:t xml:space="preserve"> un nacionālais publiskais līdzfinansējums – ne mazāk kā 1 336 263 </w:t>
      </w:r>
      <w:r w:rsidR="00000000" w:rsidRPr="00000000" w:rsidDel="00000000">
        <w:rPr>
          <w:i w:val="1"/>
          <w:rtl w:val="0"/>
        </w:rPr>
        <w:t xml:space="preserve">euro</w:t>
      </w:r>
      <w:r w:rsidR="00000000" w:rsidRPr="00000000" w:rsidDel="00000000">
        <w:rPr>
          <w:rtl w:val="0"/>
        </w:rPr>
        <w:t xml:space="preserve"> (tai skaitā valsts budžeta finansējums – 27 296 </w:t>
      </w:r>
      <w:r w:rsidR="00000000" w:rsidRPr="00000000" w:rsidDel="00000000">
        <w:rPr>
          <w:i w:val="1"/>
          <w:rtl w:val="0"/>
        </w:rPr>
        <w:t xml:space="preserve">euro</w:t>
      </w:r>
      <w:r w:rsidR="00000000" w:rsidRPr="00000000" w:rsidDel="00000000">
        <w:rPr>
          <w:rtl w:val="0"/>
        </w:rPr>
        <w:t xml:space="preserve">, valsts budžeta dotācija pašvaldībām – 16 972 </w:t>
      </w:r>
      <w:r w:rsidR="00000000" w:rsidRPr="00000000" w:rsidDel="00000000">
        <w:rPr>
          <w:i w:val="1"/>
          <w:rtl w:val="0"/>
        </w:rPr>
        <w:t xml:space="preserve">euro</w:t>
      </w:r>
      <w:r w:rsidR="00000000" w:rsidRPr="00000000" w:rsidDel="00000000">
        <w:rPr>
          <w:rtl w:val="0"/>
        </w:rPr>
        <w:t xml:space="preserve"> un pašvaldības finansējums – ne mazāk kā 1 291 995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maksimālais attiecināmais Eiropas Reģionālās attīstības fonda finansējuma apmērs nepārsniedz 18,5 procentus no kopējā projektu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radušās izmaksas ir attiecināmas, ja tās atbilst šajos noteikumos minētajām izmaksu pozīcijām un ir radušās no 2021. gada 28. septembra.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projekta iesniedzējs ir Rīgas valstspilsētas pašvaldība vai tās izveidota iestāde, kas pilda pašvaldības deleģētos pārvaldes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sagatavo un iesniedz saskaņā ar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viena mēneša laikā pēc projekta iesnieguma iesniegšanas.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pārbūve vai atjaunošana, tai skaitā būvekspertīze, būvuzraudzība, autoruzraudzība un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ietvaros ir atbalstāma vides prasību integrācija preču un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15.1.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atlīdzības izmaksas – projekta vadības personāla atlīdzības izmaksas, kas tiek noteiktas kā fiksēta summa, piemērojot šo noteikumu </w:t>
      </w:r>
      <w:r w:rsidR="00000000" w:rsidRPr="00000000" w:rsidDel="00000000">
        <w:rPr>
          <w:rtl w:val="0"/>
        </w:rPr>
        <w:t xml:space="preserve">17.</w:t>
      </w:r>
      <w:r w:rsidR="00000000" w:rsidRPr="00000000" w:rsidDel="00000000">
        <w:rPr>
          <w:rtl w:val="0"/>
        </w:rPr>
        <w:t xml:space="preserve"> punktā minētos nosacījumus. Projekta vadības personāla atlīdzības izmaksas ietver atalgojumu un darba devēja valsts sociālās apdrošināšanas obligātās iemaksas, pabalstus un kompensācijas atbilstoši Valsts un pašvaldību institūciju amatpersonu un darbinieku atlīdzības likumā noteiktajam, izņemot virsstundas. Ja projekta vadības personāla iesaiste projektā ir nodrošināta saskaņā ar daļlaika attiecināmības principu, attiecināma ir ne mazāk kā 30 procentu noslodze no normālā darba laika;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 pakalpojumu (uzņēmuma līgumu)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 minētās atbalstāmās darbības īstenošanai un šo noteikumu </w:t>
      </w:r>
      <w:r w:rsidR="00000000" w:rsidRPr="00000000" w:rsidDel="00000000">
        <w:rPr>
          <w:rtl w:val="0"/>
        </w:rPr>
        <w:t xml:space="preserve">13.4.</w:t>
      </w:r>
      <w:r w:rsidR="00000000" w:rsidRPr="00000000" w:rsidDel="00000000">
        <w:rPr>
          <w:rtl w:val="0"/>
        </w:rPr>
        <w:t xml:space="preserve"> apakšpunktā minētās atbalstāmās darbības īstenošanai, ja informācijas un publicitātes pasākumu īstenošanai ir nepieciešams piesaistīt pakalpojumu sniedzēju.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16.1. apakšpunktā minētā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24 426 </w:t>
      </w:r>
      <w:r w:rsidR="00000000" w:rsidRPr="00000000" w:rsidDel="00000000">
        <w:rPr>
          <w:i w:val="1"/>
          <w:rtl w:val="0"/>
        </w:rPr>
        <w:t xml:space="preserve">euro </w:t>
      </w:r>
      <w:r w:rsidR="00000000" w:rsidRPr="00000000" w:rsidDel="00000000">
        <w:rPr>
          <w:rtl w:val="0"/>
        </w:rPr>
        <w:t xml:space="preserve">gadā. Tām var pieskaitīt 0,64 procentus no projekta tiešajām attiecināmajām izmaksām, kas neietver projekta tiešās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nepārsniedz aprēķināto maksimālo izmaksu ierobežojumu gadā, tiek reizinātas ar projekta īstenošanas gadu skaitu. Ja projekta īstenošanas laiks ilgst mazāk nekā 12 kalendāra mēnešus, šā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16.2. apakšpunktā minēto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sagatavošanai (izņemot projekta iesnieguma sagatavošanas izmaksas), lai  īstenotu šo noteikumu 13.1. apakšpunktā minēto atbalstāmo darbību, un būvuzraudzībai, autoruzraudzībai un būvekspertīzei, lai  īstenotu šo noteikumu 13.2. apakšpunktā minēto atbalstāmo darbību, var plānot izmaksas, kas kopā nepārsniedz 10 procentus no projekta kopējām attiecināmajām izmaksām. Būvuzraudzības, autoruzraudzības un būvniecības jomas normatīvajos aktos noteiktās dokumentācijas izstrādes izmaksas ir attiecināmas līdz 10 procentiem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plāno tādas izmaksas, lai atbilstoši normatīvajiem aktiem būvniecības jomā varētu nodrošināt būves nodošanu ekspluatācijā, kā arī vides un informācijas pieejamību šo noteikumu 3.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informācijas un publicitātes pasākumiem šo noteikumu 13.4. apakšpunktā minētās atbalstāmās darbības īstenošanai plāno izmaksas, kas nepārsniedz divus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izmaksas šo noteikumu 15.1. apakšpunktā minētajam personālam jaunu darba vietu radīšanai vai esošo darba vietu atjaunošanai plāno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šo noteikumu 13.1. apakšpunktā minētais personāls ir nodarbināts normālu darba laiku, darba vietas aprīkojuma iegādes izmaksas ir attiecināmas 100 procentu apmērā. Ja šo noteikumu 13.1. apakšpunktā minētais personāls ir nodarbināts nepilnu darba laiku vai saskaņā ar daļlaika attiecināmības principu, darba vietas aprīkojuma iegādes izmaksas ir attiecināmas proporcionāli slodzes procentuālajam sadalījumam.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15.2. apakšpunktā minētās projekta netiešās attiecināmās izmaksas finansējuma saņēmējs projektā var plānot kā vienu izmaksu pozīciju, piemērojot netiešo izmaksu vienoto likmi 15 procentu apmērā no šo noteikumu 15.1. apakšpunktā minētajām izmaksām, ko aprēķina tikai tām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15.3. apakšpunktā minētās neparedzētās izmaksas projektā var plānot kā vienu izmaksu pozīciju, kas nepārsniedz piecus procentus no šo noteikumu 15.1. apakšpunktā minētajām kopējām projekta tiešajām attiecināmajām izmaksām, un tās var izmantot šo noteikumu 15.1. un 15.2. apakšpunktā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šo noteikumu 15.1. un 15.2. apakšpunktā minēto izmaksu 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15.4. apakšpunktā minētās neattiecināmās izmaksas, kuras finansējuma saņēmējs sedz no saviem līdzekļiem, ir izmaksas, kas pārsniedz šo noteikumu 17., 18. un 20. punktā noteiktos izmaksu ierobežojumus.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valsts budžeta finansējuma, valsts budžeta dotācijas pašvaldībai un valsts budžeta virssaistību kopsummas. Avansu var izmaksāt vairākos maksājumos.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var pretendēt uz atbalstu pasākumā, ja nekustamais īpašums, kurā par projekta īstenošanai piešķirtajiem līdzekļiem tiks veikti ieguldījumi, ir finansējuma saņēmēja vai finansējuma saņēmēja kontrolētas kapitālsabiedrības īpašumā. Ja nekustamais īpašums ir finansējuma saņēmēja kontrolētas kapitālsabiedrības īpašumā, tad finansējuma saņēmējam lietošanas tiesības ir uz termiņu, kas nav īsāks par pieciem gadiem no dienas, kad veikts projekta noslēguma maksājums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13.1. apakšpunktā minēto atbalstāmo darbību īsteno finansējuma saņēmēja piesaistīts pakalpojuma sniedzējs, kas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tas nepieciešams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tas nepieciešams šo noteikumu 13.2. apakšpunktā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apakšpunktā minētās atbalstāmās darbības ietvaros finansējuma saņēmēja piesaistīts pakalpojuma sniedzējs izveido grupu mājas (dzīvokļus) ar 16 pakalpojuma sniegšanas vietām un dienas aprūpes centru ar 20 pakalpojuma sniegšanas vietām šo noteikumu 3. punktā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šo noteikumu 13.2. apakšpunktā minēto atbalstāmo darbību, finansējuma saņēmējs vai finansējuma saņēmēja piesaistīts pakalpojuma sniedzējs nodrošina, ka papildus būvniecības jomas normatīvajos aktos noteiktajām prasībām tiek sniegtas vides pieejamības ekspertu konsultācijas un veiktas specifiskas darbības vides un informācijas pieejamības nodrošināšanai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 minētās vides pieejamības konsultācijas un specifiskās darbības vides un informācijas pieejamībai var nodrošināt arī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13.3.</w:t>
      </w:r>
      <w:r w:rsidR="00000000" w:rsidRPr="00000000" w:rsidDel="00000000">
        <w:rPr>
          <w:rtl w:val="0"/>
        </w:rPr>
        <w:t xml:space="preserve"> apakšpunktā minētās atbalstāmās darbības īstenošanas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Sagatavojot šo noteikumu 11. apakšpunktā minēto projekta iesniegumu un plānojot tajā būvobjekta teritorijas labiekārtošanas izmaksas, norāda darbu pozīcijas, kas attiecas uz teritorijas labiekārtošanu un vides un informācijas pieejamības nodrošināšanu šo noteikumu 3. punktā minētajām mērķa grupas personām, un pamato to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projekta iesniegumā norāda būves enerģijas patēriņu (megavatstundās) pirms projekta īstenošanas, kā arī informē sadarbības iestādi par enerģijas patēriņu (megavatstundās)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13.3. apakšpunktā minētās atbalstāmās darbības īstenošanai finansējuma saņēmēja piesaistīts pakalpojuma sniedzējs iegādājas telpu aprīkošanai nepieciešamo materiāltehnisko nodrošinājumu, tai skaitā mēbeles, datorus un datorprogrammatūru, tehniskos palīglīdzekļus un citas nepieciešamās ierīces un materiālus grupu mājas (dzīvokļu) un dienas aprūpes centra pakalpojumu sniegšanai.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ietvaros nav atbalstāma fosilo energoresursu tehnoloģiju uzstādīšana.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attiecībā uz šo noteikumu </w:t>
      </w:r>
      <w:r w:rsidR="00000000" w:rsidRPr="00000000" w:rsidDel="00000000">
        <w:rPr>
          <w:rtl w:val="0"/>
        </w:rPr>
        <w:t xml:space="preserve">3.</w:t>
      </w:r>
      <w:r w:rsidR="00000000" w:rsidRPr="00000000" w:rsidDel="00000000">
        <w:rPr>
          <w:rtl w:val="0"/>
        </w:rPr>
        <w:t xml:space="preserve"> punktā minētajām mērķa grupas personām netiek finansēti vai līdzfinansēti, kā arī tos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personālu un, paredzot tam šo noteikumu </w:t>
      </w:r>
      <w:r w:rsidR="00000000" w:rsidRPr="00000000" w:rsidDel="00000000">
        <w:rPr>
          <w:rtl w:val="0"/>
        </w:rPr>
        <w:t xml:space="preserve">16.1.</w:t>
      </w:r>
      <w:r w:rsidR="00000000" w:rsidRPr="00000000" w:rsidDel="00000000">
        <w:rPr>
          <w:rtl w:val="0"/>
        </w:rPr>
        <w:t xml:space="preserve"> apakšpunktā minētās izmaksas, nodrošina, ka personāls tiek piesaistīts normālu vai nepilnu darba laiku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pakalpojuma sniedzējus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(uzņēmuma)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13.2. un 13.3. apakšpunktā minēto atbalstāmo darbību īstenošanu nodrošina 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minētos informācijas un publicitātes pasākumus nodrošina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"Vienlīdzīgas iespējas" horizontālo rādītāju – objektu skaits, kuros Eiropas Reģionālās attīstības fonda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paredzēts mainīt sabiedrībā balstītu sociālo pakalpojumu infrastruktūras izmantošanas nosacījumus un tā rezultātā projekta darbības būs saistītas ar saimniecisko darbību, kurai sniegtais atbalsts būtu kvalificējams kā komercdarbības atbalsts, iesniedz sadarbības iestādē informāciju par plānotajām izmaiņām;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w:t>
      </w:r>
      <w:r w:rsidR="00000000" w:rsidRPr="00000000" w:rsidDel="00000000">
        <w:rPr>
          <w:rtl w:val="0"/>
        </w:rPr>
        <w:t xml:space="preserve"> punktā minētā mērķa grupa nenodrošina pilnu projekta ietvaros izveidotās infrastruktūras noslodzi, izveidotajā sabiedrībā balstītu sociālo pakalpojumu infrastruktūrā, tai skaitā šo noteikumu </w:t>
      </w:r>
      <w:r w:rsidR="00000000" w:rsidRPr="00000000" w:rsidDel="00000000">
        <w:rPr>
          <w:rtl w:val="0"/>
        </w:rPr>
        <w:t xml:space="preserve">33.10.</w:t>
      </w:r>
      <w:r w:rsidR="00000000" w:rsidRPr="00000000" w:rsidDel="00000000">
        <w:rPr>
          <w:rtl w:val="0"/>
        </w:rPr>
        <w:t xml:space="preserve"> apakšpunktā minētajā projekta rezultātu ilgtspējas nodrošināšanas periodā, sabiedrībā balstītus sociālos pakalpojumus var sniegt arī pilngadīgām personām ar garīga rakstura traucējumiem, kurām noteikta III invaliditātes grupa vai nav noteikta invaliditāte, bet ir smagi vai ļoti smagi izteikti psihiskie un uzvedības traucējumi.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saņēmējam ir aizliegts pasākuma ietvaros izveidoto sabiedrībā balstīto sociālo pakalpojumu infrastruktūru pasākuma īstenošanas un šo noteikumu </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finansējuma saņēmējs ir noslēdzis deleģēšanas līgumu par sabiedrībā balstītu sociālo pakalpojumu sniegšanu šo noteikumu 3. punktā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pasākuma ietvaros izveidojamā sabiedrībā balstītu sociālo pakalpojumu infrastruktūra projekta īstenošanas laikā vai šo noteikumu </w:t>
      </w:r>
      <w:r w:rsidR="00000000" w:rsidRPr="00000000" w:rsidDel="00000000">
        <w:rPr>
          <w:rtl w:val="0"/>
        </w:rPr>
        <w:t xml:space="preserve">33.9.</w:t>
      </w:r>
      <w:r w:rsidR="00000000" w:rsidRPr="00000000" w:rsidDel="00000000">
        <w:rPr>
          <w:rtl w:val="0"/>
        </w:rPr>
        <w:t xml:space="preserve"> apakšpunktā minētajā projekta pārskata periodā (projekta dzīves cikla laikā) kļūst par infrastruktūru, kas saistīta ar saimniecisko darbību, kurai sniegtais atbalsts būtu kvalificējams kā komercdarbības atbalsts, finansējuma saņēmējs atmaksā sadarbības iestādei nelikumīgi saņemto atbalstu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projekta īstenošana nenotiek atbilstoši projektā noteiktajiem termiņiem vai ir iestājušies citi apstākļi, kas negatīvi ietekmē vai var ietekmēt šo noteikumu 2. punktā minētā mērķa sasniegšanu un šo noteikumu </w:t>
      </w:r>
      <w:r w:rsidR="00000000" w:rsidRPr="00000000" w:rsidDel="00000000">
        <w:rPr>
          <w:rtl w:val="0"/>
        </w:rPr>
        <w:t xml:space="preserve">4.</w:t>
      </w:r>
      <w:r w:rsidR="00000000" w:rsidRPr="00000000" w:rsidDel="00000000">
        <w:rPr>
          <w:rtl w:val="0"/>
        </w:rPr>
        <w:t xml:space="preserve"> punktā minētā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22-TA-817</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22-TA-817</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noteikumu_konsolidētā_versija_22-TA-817.docx</dc:title>
</cp:coreProperties>
</file>

<file path=docProps/custom.xml><?xml version="1.0" encoding="utf-8"?>
<Properties xmlns="http://schemas.openxmlformats.org/officeDocument/2006/custom-properties" xmlns:vt="http://schemas.openxmlformats.org/officeDocument/2006/docPropsVTypes"/>
</file>